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B9F44" w14:textId="40965631" w:rsidR="00CC1DA8" w:rsidRDefault="00231611" w:rsidP="00CC229D">
      <w:pPr>
        <w:spacing w:after="0"/>
        <w:rPr>
          <w:b/>
          <w:color w:val="EB3741"/>
          <w:sz w:val="36"/>
          <w:szCs w:val="36"/>
          <w:lang w:val="fr-FR"/>
        </w:rPr>
      </w:pPr>
      <w:r w:rsidRPr="008F39F2">
        <w:rPr>
          <w:b/>
          <w:noProof/>
          <w:color w:val="EB3741"/>
          <w:sz w:val="36"/>
          <w:szCs w:val="36"/>
          <w:lang w:val="fr-FR" w:eastAsia="fr-FR"/>
        </w:rPr>
        <w:drawing>
          <wp:anchor distT="0" distB="0" distL="114300" distR="114300" simplePos="0" relativeHeight="251676672" behindDoc="0" locked="0" layoutInCell="1" allowOverlap="1" wp14:anchorId="0F1C465B" wp14:editId="230CBF80">
            <wp:simplePos x="0" y="0"/>
            <wp:positionH relativeFrom="column">
              <wp:posOffset>0</wp:posOffset>
            </wp:positionH>
            <wp:positionV relativeFrom="paragraph">
              <wp:posOffset>0</wp:posOffset>
            </wp:positionV>
            <wp:extent cx="746825" cy="762066"/>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6825" cy="762066"/>
                    </a:xfrm>
                    <a:prstGeom prst="rect">
                      <a:avLst/>
                    </a:prstGeom>
                  </pic:spPr>
                </pic:pic>
              </a:graphicData>
            </a:graphic>
            <wp14:sizeRelH relativeFrom="margin">
              <wp14:pctWidth>0</wp14:pctWidth>
            </wp14:sizeRelH>
            <wp14:sizeRelV relativeFrom="margin">
              <wp14:pctHeight>0</wp14:pctHeight>
            </wp14:sizeRelV>
          </wp:anchor>
        </w:drawing>
      </w:r>
      <w:r w:rsidR="00CC229D" w:rsidRPr="00CC229D">
        <w:rPr>
          <w:b/>
          <w:color w:val="EB3741"/>
          <w:sz w:val="36"/>
          <w:szCs w:val="36"/>
          <w:lang w:val="fr-FR"/>
        </w:rPr>
        <w:t xml:space="preserve">Étape 4 : </w:t>
      </w:r>
      <w:r w:rsidR="00CC1DA8">
        <w:rPr>
          <w:b/>
          <w:color w:val="EB3741"/>
          <w:sz w:val="36"/>
          <w:szCs w:val="36"/>
          <w:lang w:val="fr-FR"/>
        </w:rPr>
        <w:t xml:space="preserve"> </w:t>
      </w:r>
      <w:r w:rsidR="00CC229D" w:rsidRPr="00CC229D">
        <w:rPr>
          <w:b/>
          <w:color w:val="EB3741"/>
          <w:sz w:val="36"/>
          <w:szCs w:val="36"/>
          <w:lang w:val="fr-FR"/>
        </w:rPr>
        <w:t>Mis</w:t>
      </w:r>
      <w:r w:rsidR="00045EEC">
        <w:rPr>
          <w:b/>
          <w:color w:val="EB3741"/>
          <w:sz w:val="36"/>
          <w:szCs w:val="36"/>
          <w:lang w:val="fr-FR"/>
        </w:rPr>
        <w:t xml:space="preserve">e en œuvre et suivi conjoints, </w:t>
      </w:r>
    </w:p>
    <w:p w14:paraId="7EE40838" w14:textId="3B1B55E9" w:rsidR="00231611" w:rsidRPr="00CC229D" w:rsidRDefault="00CC229D" w:rsidP="00CC1DA8">
      <w:pPr>
        <w:spacing w:after="0"/>
        <w:ind w:left="2880"/>
        <w:rPr>
          <w:b/>
          <w:color w:val="EB3741"/>
          <w:sz w:val="36"/>
          <w:szCs w:val="36"/>
          <w:lang w:val="fr-FR"/>
        </w:rPr>
      </w:pPr>
      <w:r w:rsidRPr="00CC229D">
        <w:rPr>
          <w:b/>
          <w:color w:val="EB3741"/>
          <w:sz w:val="36"/>
          <w:szCs w:val="36"/>
          <w:lang w:val="fr-FR"/>
        </w:rPr>
        <w:t xml:space="preserve">et évaluation de la collaboration </w:t>
      </w:r>
    </w:p>
    <w:p w14:paraId="1F4461D9" w14:textId="0C1DAB1C" w:rsidR="00045EEC" w:rsidRPr="00761D2C" w:rsidRDefault="00761D2C" w:rsidP="00A60490">
      <w:pPr>
        <w:spacing w:after="40"/>
        <w:rPr>
          <w:bCs/>
          <w:color w:val="EB3741"/>
          <w:sz w:val="36"/>
          <w:szCs w:val="36"/>
          <w:lang w:val="fr-FR"/>
        </w:rPr>
      </w:pPr>
      <w:r w:rsidRPr="00761D2C">
        <w:rPr>
          <w:bCs/>
          <w:color w:val="EB3741"/>
          <w:sz w:val="36"/>
          <w:szCs w:val="36"/>
          <w:lang w:val="fr-FR"/>
        </w:rPr>
        <w:t xml:space="preserve">Pratiques </w:t>
      </w:r>
      <w:r w:rsidR="00B92854">
        <w:rPr>
          <w:bCs/>
          <w:color w:val="EB3741"/>
          <w:sz w:val="36"/>
          <w:szCs w:val="36"/>
          <w:lang w:val="fr-FR"/>
        </w:rPr>
        <w:t xml:space="preserve">et ressources </w:t>
      </w:r>
      <w:r w:rsidRPr="00761D2C">
        <w:rPr>
          <w:bCs/>
          <w:color w:val="EB3741"/>
          <w:sz w:val="36"/>
          <w:szCs w:val="36"/>
          <w:lang w:val="fr-FR"/>
        </w:rPr>
        <w:t>prometteu</w:t>
      </w:r>
      <w:r>
        <w:rPr>
          <w:bCs/>
          <w:color w:val="EB3741"/>
          <w:sz w:val="36"/>
          <w:szCs w:val="36"/>
          <w:lang w:val="fr-FR"/>
        </w:rPr>
        <w:t>ses des Clusters</w:t>
      </w:r>
      <w:r w:rsidRPr="00761D2C">
        <w:rPr>
          <w:bCs/>
          <w:color w:val="EB3741"/>
          <w:sz w:val="36"/>
          <w:szCs w:val="36"/>
          <w:lang w:val="fr-FR"/>
        </w:rPr>
        <w:t xml:space="preserve"> pays</w:t>
      </w:r>
    </w:p>
    <w:p w14:paraId="20D8528D" w14:textId="521568A3" w:rsidR="00CC229D" w:rsidRPr="00CC229D" w:rsidRDefault="00CC1DA8" w:rsidP="00CC1DA8">
      <w:pPr>
        <w:spacing w:before="240"/>
        <w:ind w:right="-81"/>
        <w:rPr>
          <w:bCs/>
          <w:lang w:val="fr-FR"/>
        </w:rPr>
      </w:pPr>
      <w:r w:rsidRPr="0035024E">
        <w:rPr>
          <w:b/>
          <w:noProof/>
          <w:sz w:val="20"/>
          <w:szCs w:val="20"/>
          <w:lang w:val="fr-FR" w:eastAsia="fr-FR"/>
        </w:rPr>
        <mc:AlternateContent>
          <mc:Choice Requires="wps">
            <w:drawing>
              <wp:anchor distT="0" distB="0" distL="114300" distR="114300" simplePos="0" relativeHeight="251674624" behindDoc="0" locked="0" layoutInCell="1" allowOverlap="1" wp14:anchorId="6ABCD15E" wp14:editId="0861BD85">
                <wp:simplePos x="0" y="0"/>
                <wp:positionH relativeFrom="column">
                  <wp:posOffset>5276850</wp:posOffset>
                </wp:positionH>
                <wp:positionV relativeFrom="paragraph">
                  <wp:posOffset>781049</wp:posOffset>
                </wp:positionV>
                <wp:extent cx="243205" cy="495300"/>
                <wp:effectExtent l="19050" t="0" r="42545" b="19050"/>
                <wp:wrapNone/>
                <wp:docPr id="3" name="Arrow: Chevron 3"/>
                <wp:cNvGraphicFramePr/>
                <a:graphic xmlns:a="http://schemas.openxmlformats.org/drawingml/2006/main">
                  <a:graphicData uri="http://schemas.microsoft.com/office/word/2010/wordprocessingShape">
                    <wps:wsp>
                      <wps:cNvSpPr/>
                      <wps:spPr>
                        <a:xfrm flipV="1">
                          <a:off x="0" y="0"/>
                          <a:ext cx="243205" cy="495300"/>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430B764"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 o:spid="_x0000_s1026" type="#_x0000_t55" style="position:absolute;margin-left:415.5pt;margin-top:61.5pt;width:19.15pt;height:39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" adj="10800" fillcolor="#eb3741" strokecolor="#eb3741" strokeweight=".5pt"/>
            </w:pict>
          </mc:Fallback>
        </mc:AlternateContent>
      </w:r>
      <w:r w:rsidRPr="002F323D">
        <w:rPr>
          <w:b/>
          <w:noProof/>
          <w:color w:val="EB3741"/>
          <w:sz w:val="20"/>
          <w:szCs w:val="20"/>
          <w:lang w:val="fr-FR" w:eastAsia="fr-FR"/>
        </w:rPr>
        <mc:AlternateContent>
          <mc:Choice Requires="wps">
            <w:drawing>
              <wp:anchor distT="0" distB="0" distL="114300" distR="114300" simplePos="0" relativeHeight="251672576" behindDoc="0" locked="0" layoutInCell="1" allowOverlap="1" wp14:anchorId="7A870A68" wp14:editId="4B69DD77">
                <wp:simplePos x="0" y="0"/>
                <wp:positionH relativeFrom="column">
                  <wp:posOffset>4080510</wp:posOffset>
                </wp:positionH>
                <wp:positionV relativeFrom="paragraph">
                  <wp:posOffset>781049</wp:posOffset>
                </wp:positionV>
                <wp:extent cx="282575" cy="495300"/>
                <wp:effectExtent l="19050" t="0" r="41275" b="19050"/>
                <wp:wrapNone/>
                <wp:docPr id="2" name="Arrow: Chevron 2"/>
                <wp:cNvGraphicFramePr/>
                <a:graphic xmlns:a="http://schemas.openxmlformats.org/drawingml/2006/main">
                  <a:graphicData uri="http://schemas.microsoft.com/office/word/2010/wordprocessingShape">
                    <wps:wsp>
                      <wps:cNvSpPr/>
                      <wps:spPr>
                        <a:xfrm flipV="1">
                          <a:off x="0" y="0"/>
                          <a:ext cx="282575" cy="495300"/>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7905B698" id="Arrow: Chevron 2" o:spid="_x0000_s1026" type="#_x0000_t55" style="position:absolute;margin-left:321.3pt;margin-top:61.5pt;width:22.25pt;height:39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" adj="10800" fillcolor="#eb3741" strokecolor="#eb3741" strokeweight=".5pt"/>
            </w:pict>
          </mc:Fallback>
        </mc:AlternateContent>
      </w:r>
      <w:r w:rsidR="00A60490" w:rsidRPr="0035024E">
        <w:rPr>
          <w:b/>
          <w:noProof/>
          <w:sz w:val="20"/>
          <w:szCs w:val="20"/>
          <w:lang w:val="fr-FR" w:eastAsia="fr-FR"/>
        </w:rPr>
        <mc:AlternateContent>
          <mc:Choice Requires="wps">
            <w:drawing>
              <wp:anchor distT="0" distB="0" distL="114300" distR="114300" simplePos="0" relativeHeight="251668480" behindDoc="0" locked="0" layoutInCell="1" allowOverlap="1" wp14:anchorId="2E0C08D0" wp14:editId="43B41814">
                <wp:simplePos x="0" y="0"/>
                <wp:positionH relativeFrom="column">
                  <wp:posOffset>2106930</wp:posOffset>
                </wp:positionH>
                <wp:positionV relativeFrom="paragraph">
                  <wp:posOffset>781050</wp:posOffset>
                </wp:positionV>
                <wp:extent cx="240030" cy="495300"/>
                <wp:effectExtent l="19050" t="0" r="45720" b="19050"/>
                <wp:wrapNone/>
                <wp:docPr id="14" name="Arrow: Chevron 14"/>
                <wp:cNvGraphicFramePr/>
                <a:graphic xmlns:a="http://schemas.openxmlformats.org/drawingml/2006/main">
                  <a:graphicData uri="http://schemas.microsoft.com/office/word/2010/wordprocessingShape">
                    <wps:wsp>
                      <wps:cNvSpPr/>
                      <wps:spPr>
                        <a:xfrm flipV="1">
                          <a:off x="0" y="0"/>
                          <a:ext cx="240030" cy="495300"/>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4935EBCE" id="Arrow: Chevron 14" o:spid="_x0000_s1026" type="#_x0000_t55" style="position:absolute;margin-left:165.9pt;margin-top:61.5pt;width:18.9pt;height:39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" adj="10800" fillcolor="#eb3741" strokecolor="#eb3741" strokeweight=".5pt"/>
            </w:pict>
          </mc:Fallback>
        </mc:AlternateContent>
      </w:r>
      <w:r w:rsidRPr="009C4D1B">
        <w:rPr>
          <w:bCs/>
          <w:lang w:val="fr-FR"/>
        </w:rPr>
        <w:t>Le tableau suivant contient l</w:t>
      </w:r>
      <w:r>
        <w:rPr>
          <w:bCs/>
          <w:lang w:val="fr-FR"/>
        </w:rPr>
        <w:t>es pratiques prometteuses du</w:t>
      </w:r>
      <w:r w:rsidRPr="009C4D1B">
        <w:rPr>
          <w:lang w:val="fr-FR"/>
        </w:rPr>
        <w:t xml:space="preserve"> </w:t>
      </w:r>
      <w:r w:rsidRPr="009C4D1B">
        <w:rPr>
          <w:bCs/>
          <w:lang w:val="fr-FR"/>
        </w:rPr>
        <w:t>cadre de collaboration CP-EiE</w:t>
      </w:r>
      <w:r>
        <w:rPr>
          <w:bCs/>
          <w:lang w:val="fr-FR"/>
        </w:rPr>
        <w:t xml:space="preserve"> des clusters</w:t>
      </w:r>
      <w:r w:rsidRPr="009C4D1B">
        <w:rPr>
          <w:bCs/>
          <w:lang w:val="fr-FR"/>
        </w:rPr>
        <w:t xml:space="preserve"> pays et, le cas échéant, les ressources qu’ils ont utilisées. Les exemples sont classés selon les étapes du </w:t>
      </w:r>
      <w:hyperlink r:id="rId9" w:history="1">
        <w:r w:rsidRPr="008A39B4">
          <w:rPr>
            <w:rStyle w:val="Hyperlink"/>
            <w:bCs/>
            <w:lang w:val="fr-FR"/>
          </w:rPr>
          <w:t>Cadre de collaboration CP-EiE</w:t>
        </w:r>
      </w:hyperlink>
      <w:r w:rsidRPr="009C4D1B">
        <w:rPr>
          <w:bCs/>
          <w:lang w:val="fr-FR"/>
        </w:rPr>
        <w:t xml:space="preserve">. Les ressources mondiales liées à ces étapes sont </w:t>
      </w:r>
      <w:r>
        <w:rPr>
          <w:bCs/>
          <w:lang w:val="fr-FR"/>
        </w:rPr>
        <w:t>i</w:t>
      </w:r>
      <w:r w:rsidRPr="009C4D1B">
        <w:rPr>
          <w:bCs/>
          <w:lang w:val="fr-FR"/>
        </w:rPr>
        <w:t>ncluses à la fin</w:t>
      </w:r>
      <w:r w:rsidRPr="009C4D1B">
        <w:rPr>
          <w:bCs/>
          <w:i/>
          <w:lang w:val="fr-FR"/>
        </w:rPr>
        <w:t xml:space="preserve">. Il s’agit d’une compilation vivante de pratiques prometteuses; si vous avez des exemples ou des outils à ajouter, </w:t>
      </w:r>
      <w:hyperlink r:id="rId10" w:history="1">
        <w:r w:rsidRPr="008A39B4">
          <w:rPr>
            <w:rStyle w:val="Hyperlink"/>
            <w:bCs/>
            <w:i/>
            <w:iCs/>
            <w:lang w:val="fr-FR"/>
          </w:rPr>
          <w:t>veuillez nous contacter </w:t>
        </w:r>
      </w:hyperlink>
      <w:r w:rsidR="00CC229D" w:rsidRPr="00A871FA">
        <w:rPr>
          <w:bCs/>
          <w:i/>
          <w:lang w:val="fr-FR"/>
        </w:rPr>
        <w:t>!</w:t>
      </w:r>
      <w:r w:rsidR="00CC229D" w:rsidRPr="00124068">
        <w:rPr>
          <w:bCs/>
          <w:lang w:val="fr-FR"/>
        </w:rPr>
        <w:t xml:space="preserve"> </w:t>
      </w:r>
    </w:p>
    <w:tbl>
      <w:tblPr>
        <w:tblStyle w:val="TableGrid"/>
        <w:tblW w:w="14601" w:type="dxa"/>
        <w:tblInd w:w="-866"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ook w:val="04A0" w:firstRow="1" w:lastRow="0" w:firstColumn="1" w:lastColumn="0" w:noHBand="0" w:noVBand="1"/>
      </w:tblPr>
      <w:tblGrid>
        <w:gridCol w:w="4395"/>
        <w:gridCol w:w="3119"/>
        <w:gridCol w:w="1842"/>
        <w:gridCol w:w="5245"/>
      </w:tblGrid>
      <w:tr w:rsidR="009A66E3" w:rsidRPr="00686808" w14:paraId="37A79B69" w14:textId="77777777" w:rsidTr="002F323D">
        <w:tc>
          <w:tcPr>
            <w:tcW w:w="4395" w:type="dxa"/>
            <w:vAlign w:val="center"/>
          </w:tcPr>
          <w:p w14:paraId="1D6DAACD" w14:textId="204E4C31" w:rsidR="00D67652" w:rsidRPr="00CC229D" w:rsidRDefault="00CC229D" w:rsidP="002F323D">
            <w:pPr>
              <w:spacing w:before="40"/>
              <w:jc w:val="center"/>
              <w:rPr>
                <w:b/>
                <w:color w:val="EB3741"/>
                <w:sz w:val="20"/>
                <w:szCs w:val="20"/>
                <w:lang w:val="fr-FR"/>
              </w:rPr>
            </w:pPr>
            <w:r w:rsidRPr="00CC229D">
              <w:rPr>
                <w:b/>
                <w:color w:val="EB3741"/>
                <w:sz w:val="20"/>
                <w:szCs w:val="20"/>
                <w:lang w:val="fr-FR"/>
              </w:rPr>
              <w:t xml:space="preserve">4a. Définir comment travailler ensemble </w:t>
            </w:r>
          </w:p>
        </w:tc>
        <w:tc>
          <w:tcPr>
            <w:tcW w:w="3119" w:type="dxa"/>
            <w:vAlign w:val="center"/>
          </w:tcPr>
          <w:p w14:paraId="133E3A8A" w14:textId="3EF628BD" w:rsidR="00D67652" w:rsidRPr="00CC229D" w:rsidRDefault="00CC229D" w:rsidP="002F323D">
            <w:pPr>
              <w:spacing w:before="40" w:after="40"/>
              <w:jc w:val="center"/>
              <w:rPr>
                <w:b/>
                <w:color w:val="EB3741"/>
                <w:sz w:val="20"/>
                <w:szCs w:val="20"/>
                <w:lang w:val="fr-FR"/>
              </w:rPr>
            </w:pPr>
            <w:r w:rsidRPr="00CC229D">
              <w:rPr>
                <w:b/>
                <w:color w:val="EB3741"/>
                <w:sz w:val="20"/>
                <w:szCs w:val="20"/>
                <w:lang w:val="fr-FR"/>
              </w:rPr>
              <w:t xml:space="preserve">4b. Collaborer pour améliorer </w:t>
            </w:r>
            <w:r w:rsidR="00BD09B9">
              <w:rPr>
                <w:b/>
                <w:color w:val="EB3741"/>
                <w:sz w:val="20"/>
                <w:szCs w:val="20"/>
                <w:lang w:val="fr-FR"/>
              </w:rPr>
              <w:t>la qualité de la réponse</w:t>
            </w:r>
          </w:p>
        </w:tc>
        <w:tc>
          <w:tcPr>
            <w:tcW w:w="1842" w:type="dxa"/>
            <w:vAlign w:val="center"/>
          </w:tcPr>
          <w:p w14:paraId="55587F39" w14:textId="66037498" w:rsidR="00D67652" w:rsidRPr="00CC229D" w:rsidRDefault="00CC229D" w:rsidP="002F323D">
            <w:pPr>
              <w:jc w:val="center"/>
              <w:rPr>
                <w:b/>
                <w:color w:val="EB3741"/>
                <w:sz w:val="20"/>
                <w:szCs w:val="20"/>
                <w:lang w:val="fr-FR"/>
              </w:rPr>
            </w:pPr>
            <w:r w:rsidRPr="00CC229D">
              <w:rPr>
                <w:b/>
                <w:color w:val="EB3741"/>
                <w:sz w:val="20"/>
                <w:szCs w:val="20"/>
                <w:lang w:val="fr-FR"/>
              </w:rPr>
              <w:t xml:space="preserve">4c. Identifier et mobiliser les partenaires </w:t>
            </w:r>
          </w:p>
        </w:tc>
        <w:tc>
          <w:tcPr>
            <w:tcW w:w="5245" w:type="dxa"/>
            <w:vAlign w:val="center"/>
          </w:tcPr>
          <w:p w14:paraId="45B6A1A1" w14:textId="0A346827" w:rsidR="00CC229D" w:rsidRPr="00CC229D" w:rsidRDefault="00CC229D" w:rsidP="00CC229D">
            <w:pPr>
              <w:jc w:val="center"/>
              <w:rPr>
                <w:b/>
                <w:color w:val="EB3741"/>
                <w:sz w:val="20"/>
                <w:szCs w:val="20"/>
                <w:lang w:val="fr-FR"/>
              </w:rPr>
            </w:pPr>
            <w:r w:rsidRPr="00CC229D">
              <w:rPr>
                <w:b/>
                <w:color w:val="EB3741"/>
                <w:sz w:val="20"/>
                <w:szCs w:val="20"/>
                <w:lang w:val="fr-FR"/>
              </w:rPr>
              <w:t>4d</w:t>
            </w:r>
            <w:r>
              <w:rPr>
                <w:b/>
                <w:color w:val="EB3741"/>
                <w:sz w:val="20"/>
                <w:szCs w:val="20"/>
                <w:lang w:val="fr-FR"/>
              </w:rPr>
              <w:t xml:space="preserve">. Plan conjoint de suivi </w:t>
            </w:r>
            <w:r w:rsidRPr="00CC229D">
              <w:rPr>
                <w:b/>
                <w:color w:val="EB3741"/>
                <w:sz w:val="20"/>
                <w:szCs w:val="20"/>
                <w:lang w:val="fr-FR"/>
              </w:rPr>
              <w:t xml:space="preserve">et   </w:t>
            </w:r>
          </w:p>
          <w:p w14:paraId="3F15854C" w14:textId="4AB0B0A3" w:rsidR="00D67652" w:rsidRPr="00CC229D" w:rsidRDefault="00CC229D" w:rsidP="00CC229D">
            <w:pPr>
              <w:jc w:val="center"/>
              <w:rPr>
                <w:b/>
                <w:color w:val="EB3741"/>
                <w:sz w:val="20"/>
                <w:szCs w:val="20"/>
                <w:lang w:val="fr-FR"/>
              </w:rPr>
            </w:pPr>
            <w:r w:rsidRPr="00CC229D">
              <w:rPr>
                <w:b/>
                <w:color w:val="EB3741"/>
                <w:sz w:val="20"/>
                <w:szCs w:val="20"/>
                <w:lang w:val="fr-FR"/>
              </w:rPr>
              <w:t xml:space="preserve">   4e. Évaluation de la collaboration</w:t>
            </w:r>
            <w:r w:rsidR="002F323D" w:rsidRPr="00CC229D">
              <w:rPr>
                <w:b/>
                <w:color w:val="EB3741"/>
                <w:sz w:val="20"/>
                <w:szCs w:val="20"/>
                <w:lang w:val="fr-FR"/>
              </w:rPr>
              <w:t xml:space="preserve"> </w:t>
            </w:r>
          </w:p>
        </w:tc>
      </w:tr>
      <w:tr w:rsidR="009A66E3" w:rsidRPr="00686808" w14:paraId="264B33B9" w14:textId="77777777" w:rsidTr="002F323D">
        <w:trPr>
          <w:trHeight w:val="601"/>
        </w:trPr>
        <w:tc>
          <w:tcPr>
            <w:tcW w:w="4395" w:type="dxa"/>
          </w:tcPr>
          <w:p w14:paraId="3B0E0C03" w14:textId="2BE915A2" w:rsidR="009A66E3" w:rsidRPr="00CC1DA8" w:rsidRDefault="00BD09B9" w:rsidP="003A0DB7">
            <w:pPr>
              <w:spacing w:before="80"/>
              <w:rPr>
                <w:rFonts w:cstheme="minorHAnsi"/>
                <w:sz w:val="20"/>
                <w:szCs w:val="20"/>
                <w:u w:val="single"/>
                <w:lang w:val="fr-FR"/>
              </w:rPr>
            </w:pPr>
            <w:r w:rsidRPr="00CC1DA8">
              <w:rPr>
                <w:rFonts w:eastAsia="Times New Roman" w:cstheme="minorHAnsi"/>
                <w:color w:val="000000"/>
                <w:sz w:val="20"/>
                <w:szCs w:val="20"/>
                <w:u w:val="single"/>
                <w:lang w:val="fr-FR"/>
              </w:rPr>
              <w:t>Orientations</w:t>
            </w:r>
            <w:r w:rsidR="00925E04" w:rsidRPr="00CC1DA8">
              <w:rPr>
                <w:rFonts w:eastAsia="Times New Roman" w:cstheme="minorHAnsi"/>
                <w:color w:val="000000"/>
                <w:sz w:val="20"/>
                <w:szCs w:val="20"/>
                <w:u w:val="single"/>
                <w:lang w:val="fr-FR"/>
              </w:rPr>
              <w:t xml:space="preserve"> pour les domaines intégrés/complémentaires</w:t>
            </w:r>
          </w:p>
          <w:p w14:paraId="38168563" w14:textId="26AF5B1F" w:rsidR="00406B0E" w:rsidRPr="00CC1DA8" w:rsidRDefault="00BD09B9" w:rsidP="00925E04">
            <w:pPr>
              <w:pStyle w:val="ListParagraph"/>
              <w:numPr>
                <w:ilvl w:val="0"/>
                <w:numId w:val="21"/>
              </w:numPr>
              <w:spacing w:before="40"/>
              <w:rPr>
                <w:rFonts w:cstheme="minorHAnsi"/>
                <w:sz w:val="20"/>
                <w:szCs w:val="20"/>
                <w:lang w:val="fr-FR"/>
              </w:rPr>
            </w:pPr>
            <w:r w:rsidRPr="00CC1DA8">
              <w:rPr>
                <w:rFonts w:cstheme="minorHAnsi"/>
                <w:sz w:val="20"/>
                <w:szCs w:val="20"/>
                <w:lang w:val="fr-FR"/>
              </w:rPr>
              <w:t xml:space="preserve">Orientations pour les </w:t>
            </w:r>
            <w:r w:rsidR="00925E04" w:rsidRPr="00CC1DA8">
              <w:rPr>
                <w:rFonts w:cstheme="minorHAnsi"/>
                <w:sz w:val="20"/>
                <w:szCs w:val="20"/>
                <w:lang w:val="fr-FR"/>
              </w:rPr>
              <w:t>espace</w:t>
            </w:r>
            <w:r w:rsidRPr="00CC1DA8">
              <w:rPr>
                <w:rFonts w:cstheme="minorHAnsi"/>
                <w:sz w:val="20"/>
                <w:szCs w:val="20"/>
                <w:lang w:val="fr-FR"/>
              </w:rPr>
              <w:t>s</w:t>
            </w:r>
            <w:r w:rsidR="00925E04" w:rsidRPr="00CC1DA8">
              <w:rPr>
                <w:rFonts w:cstheme="minorHAnsi"/>
                <w:sz w:val="20"/>
                <w:szCs w:val="20"/>
                <w:lang w:val="fr-FR"/>
              </w:rPr>
              <w:t xml:space="preserve"> polyvalent</w:t>
            </w:r>
            <w:r w:rsidRPr="00CC1DA8">
              <w:rPr>
                <w:rFonts w:cstheme="minorHAnsi"/>
                <w:sz w:val="20"/>
                <w:szCs w:val="20"/>
                <w:lang w:val="fr-FR"/>
              </w:rPr>
              <w:t>s</w:t>
            </w:r>
          </w:p>
          <w:p w14:paraId="6ACF8CCC" w14:textId="405AC32F" w:rsidR="00406B0E" w:rsidRPr="00CC1DA8" w:rsidRDefault="00925E04" w:rsidP="00925E04">
            <w:pPr>
              <w:pStyle w:val="ListParagraph"/>
              <w:numPr>
                <w:ilvl w:val="0"/>
                <w:numId w:val="24"/>
              </w:numPr>
              <w:spacing w:before="40"/>
              <w:rPr>
                <w:rFonts w:cstheme="minorHAnsi"/>
                <w:sz w:val="20"/>
                <w:szCs w:val="20"/>
                <w:lang w:val="fr-FR"/>
              </w:rPr>
            </w:pPr>
            <w:r w:rsidRPr="00CC1DA8">
              <w:rPr>
                <w:rFonts w:eastAsia="Calibri" w:cstheme="minorHAnsi"/>
                <w:sz w:val="20"/>
                <w:szCs w:val="20"/>
                <w:lang w:val="fr-FR"/>
              </w:rPr>
              <w:t xml:space="preserve">Concept Note d’intégration aux pages 6 et 7 du </w:t>
            </w:r>
            <w:r w:rsidRPr="00CC1DA8">
              <w:rPr>
                <w:rFonts w:eastAsia="Calibri" w:cstheme="minorHAnsi"/>
                <w:color w:val="4472C4" w:themeColor="accent1"/>
                <w:sz w:val="20"/>
                <w:szCs w:val="20"/>
                <w:lang w:val="fr-FR"/>
              </w:rPr>
              <w:t>package de services minimaux du Cluster Protection pour les zones urbaines reprises (</w:t>
            </w:r>
            <w:r w:rsidRPr="00CC1DA8">
              <w:rPr>
                <w:rFonts w:eastAsia="Calibri" w:cstheme="minorHAnsi"/>
                <w:b/>
                <w:sz w:val="20"/>
                <w:szCs w:val="20"/>
                <w:lang w:val="fr-FR"/>
              </w:rPr>
              <w:t>Iraq</w:t>
            </w:r>
            <w:r w:rsidRPr="00CC1DA8">
              <w:rPr>
                <w:rFonts w:eastAsia="Calibri" w:cstheme="minorHAnsi"/>
                <w:sz w:val="20"/>
                <w:szCs w:val="20"/>
                <w:lang w:val="fr-FR"/>
              </w:rPr>
              <w:t>)</w:t>
            </w:r>
          </w:p>
          <w:p w14:paraId="78FFDC25" w14:textId="1FA17207" w:rsidR="00406B0E" w:rsidRPr="00CC1DA8" w:rsidRDefault="0072189B" w:rsidP="0072189B">
            <w:pPr>
              <w:pStyle w:val="ListParagraph"/>
              <w:numPr>
                <w:ilvl w:val="0"/>
                <w:numId w:val="24"/>
              </w:numPr>
              <w:spacing w:before="40"/>
              <w:rPr>
                <w:rFonts w:cstheme="minorHAnsi"/>
                <w:sz w:val="20"/>
                <w:szCs w:val="20"/>
                <w:lang w:val="fr-FR"/>
              </w:rPr>
            </w:pPr>
            <w:r w:rsidRPr="00CC1DA8">
              <w:rPr>
                <w:rFonts w:cstheme="minorHAnsi"/>
                <w:color w:val="4472C4" w:themeColor="accent1"/>
                <w:sz w:val="20"/>
                <w:szCs w:val="20"/>
              </w:rPr>
              <w:t xml:space="preserve">Conseils sur les centres polyvalents pour enfants et adolescents </w:t>
            </w:r>
            <w:r w:rsidRPr="00CC1DA8">
              <w:rPr>
                <w:rFonts w:cstheme="minorHAnsi"/>
                <w:sz w:val="20"/>
                <w:szCs w:val="20"/>
              </w:rPr>
              <w:t>(</w:t>
            </w:r>
            <w:proofErr w:type="spellStart"/>
            <w:r w:rsidRPr="00CC1DA8">
              <w:rPr>
                <w:rFonts w:cstheme="minorHAnsi"/>
                <w:b/>
                <w:sz w:val="20"/>
                <w:szCs w:val="20"/>
              </w:rPr>
              <w:t>Cox’s</w:t>
            </w:r>
            <w:proofErr w:type="spellEnd"/>
            <w:r w:rsidRPr="00CC1DA8">
              <w:rPr>
                <w:rFonts w:cstheme="minorHAnsi"/>
                <w:b/>
                <w:sz w:val="20"/>
                <w:szCs w:val="20"/>
              </w:rPr>
              <w:t xml:space="preserve"> </w:t>
            </w:r>
            <w:proofErr w:type="spellStart"/>
            <w:r w:rsidRPr="00CC1DA8">
              <w:rPr>
                <w:rFonts w:cstheme="minorHAnsi"/>
                <w:b/>
                <w:sz w:val="20"/>
                <w:szCs w:val="20"/>
              </w:rPr>
              <w:t>Bazaar</w:t>
            </w:r>
            <w:proofErr w:type="spellEnd"/>
            <w:r w:rsidRPr="00CC1DA8">
              <w:rPr>
                <w:rFonts w:cstheme="minorHAnsi"/>
                <w:sz w:val="20"/>
                <w:szCs w:val="20"/>
              </w:rPr>
              <w:t xml:space="preserve">)  </w:t>
            </w:r>
          </w:p>
          <w:p w14:paraId="1A8C547D" w14:textId="3AD6A63F" w:rsidR="009A66E3" w:rsidRPr="00CC1DA8" w:rsidRDefault="0072189B" w:rsidP="0072189B">
            <w:pPr>
              <w:pStyle w:val="ListParagraph"/>
              <w:numPr>
                <w:ilvl w:val="0"/>
                <w:numId w:val="21"/>
              </w:numPr>
              <w:spacing w:before="40"/>
              <w:rPr>
                <w:rFonts w:cstheme="minorHAnsi"/>
                <w:sz w:val="20"/>
                <w:szCs w:val="20"/>
                <w:lang w:val="fr-FR"/>
              </w:rPr>
            </w:pPr>
            <w:r w:rsidRPr="00CC1DA8">
              <w:rPr>
                <w:rFonts w:cstheme="minorHAnsi"/>
                <w:sz w:val="20"/>
                <w:szCs w:val="20"/>
                <w:lang w:val="fr-FR"/>
              </w:rPr>
              <w:t>Définir et communiquer les activités sectorielles clés, leur différenciation et leurs complémentarités. Pour ce faire, les clusters doivent réfléchir de manière significative aux services et à la façon de les fournir avec plus d’intégration et moins de chevauchement, faciliter le plaidoyer au</w:t>
            </w:r>
            <w:r w:rsidR="00914C4D" w:rsidRPr="00CC1DA8">
              <w:rPr>
                <w:rFonts w:cstheme="minorHAnsi"/>
                <w:sz w:val="20"/>
                <w:szCs w:val="20"/>
                <w:lang w:val="fr-FR"/>
              </w:rPr>
              <w:t xml:space="preserve">près des sections du </w:t>
            </w:r>
            <w:r w:rsidRPr="00CC1DA8">
              <w:rPr>
                <w:rFonts w:cstheme="minorHAnsi"/>
                <w:sz w:val="20"/>
                <w:szCs w:val="20"/>
                <w:lang w:val="fr-FR"/>
              </w:rPr>
              <w:t xml:space="preserve">programme (décideurs), réduire la perception de services redondants et faciliter l’adoption d’un soutien intégré par les communautés, par exemple:            </w:t>
            </w:r>
          </w:p>
          <w:p w14:paraId="1491F284" w14:textId="174000CC" w:rsidR="009A66E3" w:rsidRPr="00CC1DA8" w:rsidRDefault="008666B2" w:rsidP="008666B2">
            <w:pPr>
              <w:pStyle w:val="ListParagraph"/>
              <w:numPr>
                <w:ilvl w:val="1"/>
                <w:numId w:val="21"/>
              </w:numPr>
              <w:spacing w:before="80" w:after="80"/>
              <w:rPr>
                <w:rFonts w:cstheme="minorHAnsi"/>
                <w:sz w:val="20"/>
                <w:szCs w:val="20"/>
                <w:lang w:val="fr-FR"/>
              </w:rPr>
            </w:pPr>
            <w:r w:rsidRPr="00CC1DA8">
              <w:rPr>
                <w:rFonts w:eastAsia="Times New Roman" w:cstheme="minorHAnsi"/>
                <w:color w:val="000000"/>
                <w:sz w:val="20"/>
                <w:szCs w:val="20"/>
                <w:lang w:val="fr-FR"/>
              </w:rPr>
              <w:t xml:space="preserve"> Approche CFS et TLS (</w:t>
            </w:r>
            <w:r w:rsidRPr="00CC1DA8">
              <w:rPr>
                <w:rFonts w:eastAsia="Times New Roman" w:cstheme="minorHAnsi"/>
                <w:b/>
                <w:color w:val="000000"/>
                <w:sz w:val="20"/>
                <w:szCs w:val="20"/>
                <w:lang w:val="fr-FR"/>
              </w:rPr>
              <w:t>CXB</w:t>
            </w:r>
            <w:r w:rsidRPr="00CC1DA8">
              <w:rPr>
                <w:rFonts w:eastAsia="Times New Roman" w:cstheme="minorHAnsi"/>
                <w:color w:val="000000"/>
                <w:sz w:val="20"/>
                <w:szCs w:val="20"/>
                <w:lang w:val="fr-FR"/>
              </w:rPr>
              <w:t xml:space="preserve"> 1 pager)</w:t>
            </w:r>
          </w:p>
          <w:p w14:paraId="3E1160C9" w14:textId="01D5A2F5" w:rsidR="009A66E3" w:rsidRPr="00CC1DA8" w:rsidRDefault="008666B2" w:rsidP="008666B2">
            <w:pPr>
              <w:pStyle w:val="ListParagraph"/>
              <w:numPr>
                <w:ilvl w:val="1"/>
                <w:numId w:val="21"/>
              </w:numPr>
              <w:spacing w:before="80" w:after="80"/>
              <w:rPr>
                <w:rFonts w:cstheme="minorHAnsi"/>
                <w:sz w:val="20"/>
                <w:szCs w:val="20"/>
                <w:lang w:val="en-GB"/>
              </w:rPr>
            </w:pPr>
            <w:proofErr w:type="spellStart"/>
            <w:r w:rsidRPr="00CC1DA8">
              <w:rPr>
                <w:rFonts w:cstheme="minorHAnsi"/>
                <w:sz w:val="20"/>
                <w:szCs w:val="20"/>
                <w:lang w:val="en-GB"/>
              </w:rPr>
              <w:t>Approche</w:t>
            </w:r>
            <w:proofErr w:type="spellEnd"/>
            <w:r w:rsidRPr="00CC1DA8">
              <w:rPr>
                <w:rFonts w:cstheme="minorHAnsi"/>
                <w:sz w:val="20"/>
                <w:szCs w:val="20"/>
                <w:lang w:val="en-GB"/>
              </w:rPr>
              <w:t xml:space="preserve"> PSS (</w:t>
            </w:r>
            <w:r w:rsidRPr="00CC1DA8">
              <w:rPr>
                <w:rFonts w:cstheme="minorHAnsi"/>
                <w:b/>
                <w:sz w:val="20"/>
                <w:szCs w:val="20"/>
                <w:lang w:val="en-GB"/>
              </w:rPr>
              <w:t>WCA</w:t>
            </w:r>
            <w:r w:rsidRPr="00CC1DA8">
              <w:rPr>
                <w:rFonts w:cstheme="minorHAnsi"/>
                <w:sz w:val="20"/>
                <w:szCs w:val="20"/>
                <w:lang w:val="en-GB"/>
              </w:rPr>
              <w:t>)</w:t>
            </w:r>
          </w:p>
          <w:p w14:paraId="3BBAC6A7" w14:textId="7563DEAC" w:rsidR="009A66E3" w:rsidRPr="00CC1DA8" w:rsidRDefault="008666B2" w:rsidP="008666B2">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Directives pour l’intégration du Cluster Protection et du Cluster Education (</w:t>
            </w:r>
            <w:r w:rsidRPr="00CC1DA8">
              <w:rPr>
                <w:rFonts w:eastAsia="Times New Roman" w:cstheme="minorHAnsi"/>
                <w:b/>
                <w:color w:val="000000"/>
                <w:sz w:val="20"/>
                <w:szCs w:val="20"/>
                <w:lang w:val="fr-FR"/>
              </w:rPr>
              <w:t>Soudan</w:t>
            </w:r>
            <w:r w:rsidRPr="00CC1DA8">
              <w:rPr>
                <w:rFonts w:eastAsia="Times New Roman" w:cstheme="minorHAnsi"/>
                <w:color w:val="000000"/>
                <w:sz w:val="20"/>
                <w:szCs w:val="20"/>
                <w:lang w:val="fr-FR"/>
              </w:rPr>
              <w:t xml:space="preserve">)  </w:t>
            </w:r>
          </w:p>
          <w:p w14:paraId="0763C106" w14:textId="41A0BFF8" w:rsidR="009A66E3" w:rsidRPr="00CC1DA8" w:rsidRDefault="008666B2" w:rsidP="008666B2">
            <w:pPr>
              <w:pStyle w:val="ListParagraph"/>
              <w:numPr>
                <w:ilvl w:val="0"/>
                <w:numId w:val="21"/>
              </w:numPr>
              <w:spacing w:before="40"/>
              <w:rPr>
                <w:rFonts w:cstheme="minorHAnsi"/>
                <w:sz w:val="20"/>
                <w:szCs w:val="20"/>
                <w:lang w:val="fr-FR"/>
              </w:rPr>
            </w:pPr>
            <w:r w:rsidRPr="00CC1DA8">
              <w:rPr>
                <w:rFonts w:cstheme="minorHAnsi"/>
                <w:sz w:val="20"/>
                <w:szCs w:val="20"/>
                <w:lang w:val="fr-FR"/>
              </w:rPr>
              <w:lastRenderedPageBreak/>
              <w:t>Directives pour la mise en œuvre du PSS dans les écoles (</w:t>
            </w:r>
            <w:r w:rsidRPr="00CC1DA8">
              <w:rPr>
                <w:rFonts w:cstheme="minorHAnsi"/>
                <w:b/>
                <w:sz w:val="20"/>
                <w:szCs w:val="20"/>
                <w:lang w:val="fr-FR"/>
              </w:rPr>
              <w:t>Libye</w:t>
            </w:r>
            <w:r w:rsidRPr="00CC1DA8">
              <w:rPr>
                <w:rFonts w:cstheme="minorHAnsi"/>
                <w:sz w:val="20"/>
                <w:szCs w:val="20"/>
                <w:lang w:val="fr-FR"/>
              </w:rPr>
              <w:t xml:space="preserve">);  </w:t>
            </w:r>
          </w:p>
          <w:p w14:paraId="18F0BA2E" w14:textId="34AD060A" w:rsidR="009A66E3" w:rsidRPr="00CC1DA8" w:rsidRDefault="008666B2" w:rsidP="008666B2">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Directives pour l’intégration des PSS </w:t>
            </w:r>
            <w:r w:rsidR="00640FDA" w:rsidRPr="00CC1DA8">
              <w:rPr>
                <w:rFonts w:eastAsia="Times New Roman" w:cstheme="minorHAnsi"/>
                <w:color w:val="000000"/>
                <w:sz w:val="20"/>
                <w:szCs w:val="20"/>
                <w:lang w:val="fr-FR"/>
              </w:rPr>
              <w:t>et de la Protection des Enfants</w:t>
            </w:r>
            <w:r w:rsidR="00196D04" w:rsidRPr="00CC1DA8">
              <w:rPr>
                <w:rFonts w:eastAsia="Times New Roman" w:cstheme="minorHAnsi"/>
                <w:color w:val="000000"/>
                <w:sz w:val="20"/>
                <w:szCs w:val="20"/>
                <w:lang w:val="fr-FR"/>
              </w:rPr>
              <w:t xml:space="preserve"> dans l’Education</w:t>
            </w:r>
            <w:r w:rsidRPr="00CC1DA8">
              <w:rPr>
                <w:rFonts w:eastAsia="Times New Roman" w:cstheme="minorHAnsi"/>
                <w:color w:val="000000"/>
                <w:sz w:val="20"/>
                <w:szCs w:val="20"/>
                <w:lang w:val="fr-FR"/>
              </w:rPr>
              <w:t xml:space="preserve"> (</w:t>
            </w:r>
            <w:r w:rsidRPr="00CC1DA8">
              <w:rPr>
                <w:rFonts w:eastAsia="Times New Roman" w:cstheme="minorHAnsi"/>
                <w:b/>
                <w:color w:val="000000"/>
                <w:sz w:val="20"/>
                <w:szCs w:val="20"/>
                <w:lang w:val="fr-FR"/>
              </w:rPr>
              <w:t>NW Syrie</w:t>
            </w:r>
            <w:r w:rsidRPr="00CC1DA8">
              <w:rPr>
                <w:rFonts w:eastAsia="Times New Roman" w:cstheme="minorHAnsi"/>
                <w:color w:val="000000"/>
                <w:sz w:val="20"/>
                <w:szCs w:val="20"/>
                <w:lang w:val="fr-FR"/>
              </w:rPr>
              <w:t xml:space="preserve">)   </w:t>
            </w:r>
          </w:p>
          <w:p w14:paraId="6623369F" w14:textId="2A0E95C1" w:rsidR="009A66E3" w:rsidRPr="00CC1DA8" w:rsidRDefault="00880965" w:rsidP="008666B2">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Le </w:t>
            </w:r>
            <w:r w:rsidR="008666B2" w:rsidRPr="00CC1DA8">
              <w:rPr>
                <w:rFonts w:eastAsia="Times New Roman" w:cstheme="minorHAnsi"/>
                <w:color w:val="000000"/>
                <w:sz w:val="20"/>
                <w:szCs w:val="20"/>
                <w:lang w:val="fr-FR"/>
              </w:rPr>
              <w:t>Plan d’urgence élaboré en collaboration avec le C</w:t>
            </w:r>
            <w:r w:rsidRPr="00CC1DA8">
              <w:rPr>
                <w:rFonts w:eastAsia="Times New Roman" w:cstheme="minorHAnsi"/>
                <w:color w:val="000000"/>
                <w:sz w:val="20"/>
                <w:szCs w:val="20"/>
                <w:lang w:val="fr-FR"/>
              </w:rPr>
              <w:t xml:space="preserve">luster </w:t>
            </w:r>
            <w:r w:rsidR="008666B2" w:rsidRPr="00CC1DA8">
              <w:rPr>
                <w:rFonts w:eastAsia="Times New Roman" w:cstheme="minorHAnsi"/>
                <w:color w:val="000000"/>
                <w:sz w:val="20"/>
                <w:szCs w:val="20"/>
                <w:lang w:val="fr-FR"/>
              </w:rPr>
              <w:t>P</w:t>
            </w:r>
            <w:r w:rsidRPr="00CC1DA8">
              <w:rPr>
                <w:rFonts w:eastAsia="Times New Roman" w:cstheme="minorHAnsi"/>
                <w:color w:val="000000"/>
                <w:sz w:val="20"/>
                <w:szCs w:val="20"/>
                <w:lang w:val="fr-FR"/>
              </w:rPr>
              <w:t>rotection et le Cluster E</w:t>
            </w:r>
            <w:r w:rsidR="008666B2" w:rsidRPr="00CC1DA8">
              <w:rPr>
                <w:rFonts w:eastAsia="Times New Roman" w:cstheme="minorHAnsi"/>
                <w:color w:val="000000"/>
                <w:sz w:val="20"/>
                <w:szCs w:val="20"/>
                <w:lang w:val="fr-FR"/>
              </w:rPr>
              <w:t>ducation, décrit les rôles et les tâches des différents partenaires (</w:t>
            </w:r>
            <w:r w:rsidR="008666B2" w:rsidRPr="00CC1DA8">
              <w:rPr>
                <w:rFonts w:eastAsia="Times New Roman" w:cstheme="minorHAnsi"/>
                <w:b/>
                <w:color w:val="000000"/>
                <w:sz w:val="20"/>
                <w:szCs w:val="20"/>
                <w:lang w:val="fr-FR"/>
              </w:rPr>
              <w:t xml:space="preserve">Iraq - </w:t>
            </w:r>
            <w:r w:rsidR="008666B2" w:rsidRPr="00CC1DA8">
              <w:rPr>
                <w:rFonts w:eastAsia="Times New Roman" w:cstheme="minorHAnsi"/>
                <w:color w:val="000000"/>
                <w:sz w:val="20"/>
                <w:szCs w:val="20"/>
                <w:lang w:val="fr-FR"/>
              </w:rPr>
              <w:t xml:space="preserve">Al </w:t>
            </w:r>
            <w:proofErr w:type="spellStart"/>
            <w:r w:rsidR="008666B2" w:rsidRPr="00CC1DA8">
              <w:rPr>
                <w:rFonts w:eastAsia="Times New Roman" w:cstheme="minorHAnsi"/>
                <w:color w:val="000000"/>
                <w:sz w:val="20"/>
                <w:szCs w:val="20"/>
                <w:lang w:val="fr-FR"/>
              </w:rPr>
              <w:t>Hol</w:t>
            </w:r>
            <w:proofErr w:type="spellEnd"/>
            <w:r w:rsidR="008666B2" w:rsidRPr="00CC1DA8">
              <w:rPr>
                <w:rFonts w:eastAsia="Times New Roman" w:cstheme="minorHAnsi"/>
                <w:color w:val="000000"/>
                <w:sz w:val="20"/>
                <w:szCs w:val="20"/>
                <w:lang w:val="fr-FR"/>
              </w:rPr>
              <w:t>)</w:t>
            </w:r>
            <w:r w:rsidRPr="00CC1DA8">
              <w:rPr>
                <w:rFonts w:eastAsia="Times New Roman" w:cstheme="minorHAnsi"/>
                <w:color w:val="000000"/>
                <w:sz w:val="20"/>
                <w:szCs w:val="20"/>
                <w:lang w:val="fr-FR"/>
              </w:rPr>
              <w:t xml:space="preserve">     </w:t>
            </w:r>
          </w:p>
          <w:p w14:paraId="58520A38" w14:textId="5C31D650" w:rsidR="00A54BD9" w:rsidRPr="00CC1DA8" w:rsidRDefault="00C11908" w:rsidP="00880965">
            <w:pPr>
              <w:pStyle w:val="ListParagraph"/>
              <w:numPr>
                <w:ilvl w:val="0"/>
                <w:numId w:val="21"/>
              </w:numPr>
              <w:spacing w:before="40"/>
              <w:rPr>
                <w:rFonts w:cstheme="minorHAnsi"/>
                <w:sz w:val="20"/>
                <w:szCs w:val="20"/>
                <w:lang w:val="fr-FR"/>
              </w:rPr>
            </w:pPr>
            <w:r w:rsidRPr="00CC1DA8">
              <w:rPr>
                <w:rFonts w:cstheme="minorHAnsi"/>
                <w:sz w:val="20"/>
                <w:szCs w:val="20"/>
                <w:lang w:val="fr-FR"/>
              </w:rPr>
              <w:t>Orientations</w:t>
            </w:r>
            <w:r w:rsidR="00880965" w:rsidRPr="00CC1DA8">
              <w:rPr>
                <w:rFonts w:cstheme="minorHAnsi"/>
                <w:sz w:val="20"/>
                <w:szCs w:val="20"/>
                <w:lang w:val="fr-FR"/>
              </w:rPr>
              <w:t xml:space="preserve"> pour les internats /les pensionnats (</w:t>
            </w:r>
            <w:r w:rsidR="00880965" w:rsidRPr="00CC1DA8">
              <w:rPr>
                <w:rFonts w:cstheme="minorHAnsi"/>
                <w:b/>
                <w:sz w:val="20"/>
                <w:szCs w:val="20"/>
                <w:lang w:val="fr-FR"/>
              </w:rPr>
              <w:t>Myanmar</w:t>
            </w:r>
            <w:r w:rsidR="00880965" w:rsidRPr="00CC1DA8">
              <w:rPr>
                <w:rFonts w:cstheme="minorHAnsi"/>
                <w:sz w:val="20"/>
                <w:szCs w:val="20"/>
                <w:lang w:val="fr-FR"/>
              </w:rPr>
              <w:t>, 2014)</w:t>
            </w:r>
          </w:p>
          <w:p w14:paraId="7FFE0366" w14:textId="523244DE" w:rsidR="00A54BD9" w:rsidRPr="00686808" w:rsidRDefault="00880965" w:rsidP="00880965">
            <w:pPr>
              <w:pStyle w:val="ListParagraph"/>
              <w:numPr>
                <w:ilvl w:val="0"/>
                <w:numId w:val="21"/>
              </w:numPr>
              <w:spacing w:before="40"/>
              <w:rPr>
                <w:rFonts w:eastAsia="Times New Roman" w:cstheme="minorHAnsi"/>
                <w:color w:val="000000"/>
                <w:sz w:val="20"/>
                <w:szCs w:val="20"/>
                <w:lang w:val="fr-FR"/>
              </w:rPr>
            </w:pPr>
            <w:r w:rsidRPr="00CC1DA8">
              <w:rPr>
                <w:rFonts w:cstheme="minorHAnsi"/>
                <w:sz w:val="20"/>
                <w:szCs w:val="20"/>
                <w:lang w:val="fr-FR"/>
              </w:rPr>
              <w:t>Matrice inter-clusters pour soutenir le travail conjoint et clarifier les responsabilités entre les clusters (</w:t>
            </w:r>
            <w:r w:rsidRPr="00CC1DA8">
              <w:rPr>
                <w:rFonts w:cstheme="minorHAnsi"/>
                <w:b/>
                <w:sz w:val="20"/>
                <w:szCs w:val="20"/>
                <w:lang w:val="fr-FR"/>
              </w:rPr>
              <w:t xml:space="preserve">Soudan du Sud, </w:t>
            </w:r>
            <w:r w:rsidRPr="00CC1DA8">
              <w:rPr>
                <w:rFonts w:cstheme="minorHAnsi"/>
                <w:sz w:val="20"/>
                <w:szCs w:val="20"/>
                <w:lang w:val="fr-FR"/>
              </w:rPr>
              <w:t xml:space="preserve">2016/17)     </w:t>
            </w:r>
          </w:p>
          <w:p w14:paraId="6D88EC30" w14:textId="4A60F91C" w:rsidR="00686808" w:rsidRPr="00CC1DA8" w:rsidRDefault="00686808" w:rsidP="00880965">
            <w:pPr>
              <w:pStyle w:val="ListParagraph"/>
              <w:numPr>
                <w:ilvl w:val="0"/>
                <w:numId w:val="21"/>
              </w:numPr>
              <w:spacing w:before="40"/>
              <w:rPr>
                <w:rFonts w:eastAsia="Times New Roman" w:cstheme="minorHAnsi"/>
                <w:color w:val="000000"/>
                <w:sz w:val="20"/>
                <w:szCs w:val="20"/>
                <w:lang w:val="fr-FR"/>
              </w:rPr>
            </w:pPr>
            <w:hyperlink r:id="rId11" w:history="1">
              <w:r w:rsidRPr="00686808">
                <w:rPr>
                  <w:rStyle w:val="Hyperlink"/>
                  <w:rFonts w:eastAsia="Times New Roman" w:cstheme="minorHAnsi"/>
                  <w:sz w:val="20"/>
                  <w:szCs w:val="20"/>
                  <w:lang w:val="fr-FR"/>
                </w:rPr>
                <w:t>Procédures opérationnelles standardisées conjointes pour un déplacement massif et une attaque contre une école</w:t>
              </w:r>
            </w:hyperlink>
            <w:r>
              <w:rPr>
                <w:rFonts w:eastAsia="Times New Roman" w:cstheme="minorHAnsi"/>
                <w:color w:val="000000"/>
                <w:sz w:val="20"/>
                <w:szCs w:val="20"/>
                <w:lang w:val="fr-FR"/>
              </w:rPr>
              <w:t xml:space="preserve"> (</w:t>
            </w:r>
            <w:r w:rsidRPr="00686808">
              <w:rPr>
                <w:rFonts w:eastAsia="Times New Roman" w:cstheme="minorHAnsi"/>
                <w:b/>
                <w:bCs/>
                <w:color w:val="000000"/>
                <w:sz w:val="20"/>
                <w:szCs w:val="20"/>
                <w:lang w:val="fr-FR"/>
              </w:rPr>
              <w:t>Afghanistan</w:t>
            </w:r>
            <w:r>
              <w:rPr>
                <w:rFonts w:eastAsia="Times New Roman" w:cstheme="minorHAnsi"/>
                <w:color w:val="000000"/>
                <w:sz w:val="20"/>
                <w:szCs w:val="20"/>
                <w:lang w:val="fr-FR"/>
              </w:rPr>
              <w:t>)</w:t>
            </w:r>
          </w:p>
          <w:p w14:paraId="0239655A" w14:textId="1D3931AD" w:rsidR="003723E1" w:rsidRPr="00CC1DA8" w:rsidRDefault="003723E1" w:rsidP="00D51EE4">
            <w:pPr>
              <w:rPr>
                <w:rFonts w:eastAsia="Times New Roman" w:cstheme="minorHAnsi"/>
                <w:color w:val="000000"/>
                <w:sz w:val="20"/>
                <w:szCs w:val="20"/>
                <w:lang w:val="fr-FR"/>
              </w:rPr>
            </w:pPr>
          </w:p>
          <w:p w14:paraId="6D85BFDE" w14:textId="6EF6DA23" w:rsidR="002B0D60" w:rsidRPr="00CC1DA8" w:rsidRDefault="00880965" w:rsidP="003A0DB7">
            <w:pPr>
              <w:rPr>
                <w:rFonts w:eastAsia="Calibri" w:cstheme="minorHAnsi"/>
                <w:sz w:val="20"/>
                <w:szCs w:val="20"/>
                <w:lang w:val="fr-FR"/>
              </w:rPr>
            </w:pPr>
            <w:r w:rsidRPr="00CC1DA8">
              <w:rPr>
                <w:rFonts w:eastAsia="Times New Roman" w:cstheme="minorHAnsi"/>
                <w:color w:val="000000"/>
                <w:sz w:val="20"/>
                <w:szCs w:val="20"/>
                <w:u w:val="single"/>
                <w:lang w:val="fr-FR"/>
              </w:rPr>
              <w:t xml:space="preserve">Les secteurs fixent des exigences en matière d’intégration minimale et d’activités intégrées </w:t>
            </w:r>
            <w:r w:rsidR="002B0D60" w:rsidRPr="00CC1DA8">
              <w:rPr>
                <w:rFonts w:eastAsia="Calibri" w:cstheme="minorHAnsi"/>
                <w:sz w:val="20"/>
                <w:szCs w:val="20"/>
                <w:lang w:val="fr-FR"/>
              </w:rPr>
              <w:t xml:space="preserve"> </w:t>
            </w:r>
            <w:bookmarkStart w:id="0" w:name="_Hlk43115430"/>
            <w:r w:rsidR="002B0D60" w:rsidRPr="00CC1DA8">
              <w:rPr>
                <w:rFonts w:eastAsia="Calibri" w:cstheme="minorHAnsi"/>
                <w:sz w:val="20"/>
                <w:szCs w:val="20"/>
                <w:lang w:val="fr-FR"/>
              </w:rPr>
              <w:t>(</w:t>
            </w:r>
            <w:hyperlink r:id="rId12" w:history="1">
              <w:r w:rsidR="002B0D60" w:rsidRPr="00CC1DA8">
                <w:rPr>
                  <w:rStyle w:val="Hyperlink"/>
                  <w:rFonts w:eastAsia="Calibri" w:cstheme="minorHAnsi"/>
                  <w:b/>
                  <w:bCs/>
                  <w:sz w:val="20"/>
                  <w:szCs w:val="20"/>
                  <w:lang w:val="fr-FR"/>
                </w:rPr>
                <w:t>Annex</w:t>
              </w:r>
              <w:r w:rsidR="00E26BAA" w:rsidRPr="00CC1DA8">
                <w:rPr>
                  <w:rStyle w:val="Hyperlink"/>
                  <w:rFonts w:eastAsia="Calibri" w:cstheme="minorHAnsi"/>
                  <w:b/>
                  <w:bCs/>
                  <w:sz w:val="20"/>
                  <w:szCs w:val="20"/>
                  <w:lang w:val="fr-FR"/>
                </w:rPr>
                <w:t>e</w:t>
              </w:r>
              <w:r w:rsidR="002B0D60" w:rsidRPr="00CC1DA8">
                <w:rPr>
                  <w:rStyle w:val="Hyperlink"/>
                  <w:rFonts w:eastAsia="Calibri" w:cstheme="minorHAnsi"/>
                  <w:b/>
                  <w:bCs/>
                  <w:sz w:val="20"/>
                  <w:szCs w:val="20"/>
                  <w:lang w:val="fr-FR"/>
                </w:rPr>
                <w:t xml:space="preserve"> </w:t>
              </w:r>
              <w:r w:rsidR="00406B0E" w:rsidRPr="00CC1DA8">
                <w:rPr>
                  <w:rStyle w:val="Hyperlink"/>
                  <w:rFonts w:eastAsia="Calibri" w:cstheme="minorHAnsi"/>
                  <w:b/>
                  <w:bCs/>
                  <w:sz w:val="20"/>
                  <w:szCs w:val="20"/>
                  <w:lang w:val="fr-FR"/>
                </w:rPr>
                <w:t>12</w:t>
              </w:r>
            </w:hyperlink>
            <w:r w:rsidR="002B0D60" w:rsidRPr="00CC1DA8">
              <w:rPr>
                <w:rFonts w:eastAsia="Calibri" w:cstheme="minorHAnsi"/>
                <w:sz w:val="20"/>
                <w:szCs w:val="20"/>
                <w:lang w:val="fr-FR"/>
              </w:rPr>
              <w:t>)</w:t>
            </w:r>
          </w:p>
          <w:bookmarkEnd w:id="0"/>
          <w:p w14:paraId="2C4F97E7" w14:textId="74584E57" w:rsidR="00B61F28" w:rsidRPr="00CC1DA8" w:rsidRDefault="00E26BAA" w:rsidP="00E26BAA">
            <w:pPr>
              <w:pStyle w:val="ListParagraph"/>
              <w:numPr>
                <w:ilvl w:val="0"/>
                <w:numId w:val="21"/>
              </w:numPr>
              <w:spacing w:before="40"/>
              <w:rPr>
                <w:rFonts w:eastAsia="Times New Roman" w:cstheme="minorHAnsi"/>
                <w:color w:val="000000"/>
                <w:sz w:val="20"/>
                <w:szCs w:val="20"/>
                <w:lang w:val="fr-FR"/>
              </w:rPr>
            </w:pPr>
            <w:r w:rsidRPr="00CC1DA8">
              <w:rPr>
                <w:rFonts w:eastAsia="Times New Roman" w:cstheme="minorHAnsi"/>
                <w:color w:val="000000"/>
                <w:sz w:val="20"/>
                <w:szCs w:val="20"/>
                <w:lang w:val="fr-FR"/>
              </w:rPr>
              <w:t>TDRs sur l’intégration</w:t>
            </w:r>
            <w:r w:rsidR="00B61F28" w:rsidRPr="00CC1DA8">
              <w:rPr>
                <w:rFonts w:eastAsia="Times New Roman" w:cstheme="minorHAnsi"/>
                <w:color w:val="000000"/>
                <w:sz w:val="20"/>
                <w:szCs w:val="20"/>
                <w:lang w:val="fr-FR"/>
              </w:rPr>
              <w:t xml:space="preserve"> (</w:t>
            </w:r>
            <w:hyperlink r:id="rId13" w:history="1">
              <w:r w:rsidR="0035024E" w:rsidRPr="00CC1DA8">
                <w:rPr>
                  <w:rStyle w:val="Hyperlink"/>
                  <w:rFonts w:cstheme="minorHAnsi"/>
                  <w:b/>
                  <w:bCs/>
                  <w:sz w:val="20"/>
                  <w:szCs w:val="20"/>
                  <w:lang w:val="fr-FR"/>
                </w:rPr>
                <w:t>Zimbabwe</w:t>
              </w:r>
            </w:hyperlink>
            <w:r w:rsidR="00B61F28" w:rsidRPr="00CC1DA8">
              <w:rPr>
                <w:rFonts w:eastAsia="Times New Roman" w:cstheme="minorHAnsi"/>
                <w:color w:val="000000"/>
                <w:sz w:val="20"/>
                <w:szCs w:val="20"/>
                <w:lang w:val="fr-FR"/>
              </w:rPr>
              <w:t>)</w:t>
            </w:r>
          </w:p>
          <w:p w14:paraId="04834AF8" w14:textId="45E88558" w:rsidR="00B61F28" w:rsidRPr="00CC1DA8" w:rsidRDefault="003A414A" w:rsidP="00E26BAA">
            <w:pPr>
              <w:pStyle w:val="ListParagraph"/>
              <w:numPr>
                <w:ilvl w:val="0"/>
                <w:numId w:val="21"/>
              </w:numPr>
              <w:spacing w:before="40"/>
              <w:rPr>
                <w:rFonts w:eastAsia="Times New Roman" w:cstheme="minorHAnsi"/>
                <w:color w:val="000000"/>
                <w:sz w:val="20"/>
                <w:szCs w:val="20"/>
                <w:lang w:val="fr-FR"/>
              </w:rPr>
            </w:pPr>
            <w:r w:rsidRPr="00CC1DA8">
              <w:rPr>
                <w:rFonts w:eastAsia="Times New Roman" w:cstheme="minorHAnsi"/>
                <w:color w:val="000000"/>
                <w:sz w:val="20"/>
                <w:szCs w:val="20"/>
                <w:lang w:val="fr-FR"/>
              </w:rPr>
              <w:t>Checklist</w:t>
            </w:r>
            <w:r w:rsidR="0057741F" w:rsidRPr="00CC1DA8">
              <w:rPr>
                <w:rFonts w:eastAsia="Times New Roman" w:cstheme="minorHAnsi"/>
                <w:color w:val="000000"/>
                <w:sz w:val="20"/>
                <w:szCs w:val="20"/>
                <w:lang w:val="fr-FR"/>
              </w:rPr>
              <w:t xml:space="preserve"> pour</w:t>
            </w:r>
            <w:r w:rsidR="00E26BAA" w:rsidRPr="00CC1DA8">
              <w:rPr>
                <w:rFonts w:eastAsia="Times New Roman" w:cstheme="minorHAnsi"/>
                <w:color w:val="000000"/>
                <w:sz w:val="20"/>
                <w:szCs w:val="20"/>
                <w:lang w:val="fr-FR"/>
              </w:rPr>
              <w:t xml:space="preserve"> l’intégration </w:t>
            </w:r>
            <w:r w:rsidR="00B61F28" w:rsidRPr="00CC1DA8">
              <w:rPr>
                <w:rFonts w:eastAsia="Times New Roman" w:cstheme="minorHAnsi"/>
                <w:color w:val="000000"/>
                <w:sz w:val="20"/>
                <w:szCs w:val="20"/>
                <w:lang w:val="fr-FR"/>
              </w:rPr>
              <w:t xml:space="preserve"> (</w:t>
            </w:r>
            <w:r w:rsidR="00B61F28" w:rsidRPr="00CC1DA8">
              <w:rPr>
                <w:rFonts w:eastAsia="Times New Roman" w:cstheme="minorHAnsi"/>
                <w:b/>
                <w:bCs/>
                <w:color w:val="000000"/>
                <w:sz w:val="20"/>
                <w:szCs w:val="20"/>
                <w:lang w:val="fr-FR"/>
              </w:rPr>
              <w:t>Nigeria</w:t>
            </w:r>
            <w:r w:rsidR="00B61F28" w:rsidRPr="00CC1DA8">
              <w:rPr>
                <w:rFonts w:eastAsia="Times New Roman" w:cstheme="minorHAnsi"/>
                <w:color w:val="000000"/>
                <w:sz w:val="20"/>
                <w:szCs w:val="20"/>
                <w:lang w:val="fr-FR"/>
              </w:rPr>
              <w:t>)</w:t>
            </w:r>
          </w:p>
          <w:p w14:paraId="415BD442" w14:textId="190E7671" w:rsidR="0035024E" w:rsidRPr="00CC1DA8" w:rsidRDefault="00E26BAA" w:rsidP="00E26BAA">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PSS &amp;CP </w:t>
            </w:r>
            <w:r w:rsidR="00041E67" w:rsidRPr="00CC1DA8">
              <w:rPr>
                <w:rFonts w:eastAsia="Times New Roman" w:cstheme="minorHAnsi"/>
                <w:color w:val="000000"/>
                <w:sz w:val="20"/>
                <w:szCs w:val="20"/>
                <w:lang w:val="fr-FR"/>
              </w:rPr>
              <w:t xml:space="preserve">dans le </w:t>
            </w:r>
            <w:r w:rsidR="00041E67" w:rsidRPr="00CC1DA8">
              <w:rPr>
                <w:rFonts w:eastAsia="Times New Roman" w:cstheme="minorHAnsi"/>
                <w:color w:val="4472C4" w:themeColor="accent1"/>
                <w:sz w:val="20"/>
                <w:szCs w:val="20"/>
                <w:lang w:val="fr-FR"/>
              </w:rPr>
              <w:t>checklist</w:t>
            </w:r>
            <w:r w:rsidRPr="00CC1DA8">
              <w:rPr>
                <w:rFonts w:eastAsia="Times New Roman" w:cstheme="minorHAnsi"/>
                <w:color w:val="4472C4" w:themeColor="accent1"/>
                <w:sz w:val="20"/>
                <w:szCs w:val="20"/>
                <w:lang w:val="fr-FR"/>
              </w:rPr>
              <w:t xml:space="preserve"> </w:t>
            </w:r>
            <w:r w:rsidRPr="00CC1DA8">
              <w:rPr>
                <w:rFonts w:eastAsia="Times New Roman" w:cstheme="minorHAnsi"/>
                <w:color w:val="000000"/>
                <w:sz w:val="20"/>
                <w:szCs w:val="20"/>
                <w:lang w:val="fr-FR"/>
              </w:rPr>
              <w:t>des écoles</w:t>
            </w:r>
            <w:r w:rsidR="00B61F28" w:rsidRPr="00CC1DA8">
              <w:rPr>
                <w:rFonts w:cstheme="minorHAnsi"/>
                <w:sz w:val="20"/>
                <w:szCs w:val="20"/>
                <w:lang w:val="fr-FR"/>
              </w:rPr>
              <w:t xml:space="preserve"> (</w:t>
            </w:r>
            <w:r w:rsidR="00B61F28" w:rsidRPr="00CC1DA8">
              <w:rPr>
                <w:rFonts w:cstheme="minorHAnsi"/>
                <w:b/>
                <w:sz w:val="20"/>
                <w:szCs w:val="20"/>
                <w:lang w:val="fr-FR"/>
              </w:rPr>
              <w:t xml:space="preserve">South </w:t>
            </w:r>
            <w:proofErr w:type="spellStart"/>
            <w:r w:rsidR="00B61F28" w:rsidRPr="00CC1DA8">
              <w:rPr>
                <w:rFonts w:cstheme="minorHAnsi"/>
                <w:b/>
                <w:sz w:val="20"/>
                <w:szCs w:val="20"/>
                <w:lang w:val="fr-FR"/>
              </w:rPr>
              <w:t>Sudan</w:t>
            </w:r>
            <w:proofErr w:type="spellEnd"/>
            <w:r w:rsidR="00B61F28" w:rsidRPr="00CC1DA8">
              <w:rPr>
                <w:rFonts w:cstheme="minorHAnsi"/>
                <w:sz w:val="20"/>
                <w:szCs w:val="20"/>
                <w:lang w:val="fr-FR"/>
              </w:rPr>
              <w:t>)</w:t>
            </w:r>
            <w:r w:rsidR="002B0D60" w:rsidRPr="00CC1DA8">
              <w:rPr>
                <w:rFonts w:cstheme="minorHAnsi"/>
                <w:sz w:val="20"/>
                <w:szCs w:val="20"/>
                <w:lang w:val="fr-FR"/>
              </w:rPr>
              <w:t xml:space="preserve"> </w:t>
            </w:r>
          </w:p>
          <w:p w14:paraId="1B3B3143" w14:textId="1924BDC0" w:rsidR="002B0D60" w:rsidRPr="00CC1DA8" w:rsidRDefault="00E26BAA" w:rsidP="00E26BAA">
            <w:pPr>
              <w:pStyle w:val="ListParagraph"/>
              <w:numPr>
                <w:ilvl w:val="0"/>
                <w:numId w:val="21"/>
              </w:numPr>
              <w:spacing w:before="40"/>
              <w:rPr>
                <w:rFonts w:cstheme="minorHAnsi"/>
                <w:sz w:val="20"/>
                <w:szCs w:val="20"/>
                <w:lang w:val="en-GB"/>
              </w:rPr>
            </w:pPr>
            <w:r w:rsidRPr="00CC1DA8">
              <w:rPr>
                <w:rFonts w:cstheme="minorHAnsi"/>
                <w:sz w:val="20"/>
                <w:szCs w:val="20"/>
              </w:rPr>
              <w:t xml:space="preserve">Exemple </w:t>
            </w:r>
            <w:hyperlink r:id="rId14" w:history="1">
              <w:proofErr w:type="spellStart"/>
              <w:r w:rsidRPr="00CC1DA8">
                <w:rPr>
                  <w:rStyle w:val="Hyperlink"/>
                  <w:rFonts w:cstheme="minorHAnsi"/>
                  <w:sz w:val="20"/>
                  <w:szCs w:val="20"/>
                  <w:lang w:val="en-GB"/>
                </w:rPr>
                <w:t>Géné</w:t>
              </w:r>
              <w:r w:rsidR="002B0D60" w:rsidRPr="00CC1DA8">
                <w:rPr>
                  <w:rStyle w:val="Hyperlink"/>
                  <w:rFonts w:cstheme="minorHAnsi"/>
                  <w:sz w:val="20"/>
                  <w:szCs w:val="20"/>
                  <w:lang w:val="en-GB"/>
                </w:rPr>
                <w:t>ral</w:t>
              </w:r>
              <w:proofErr w:type="spellEnd"/>
            </w:hyperlink>
            <w:r w:rsidR="0035024E" w:rsidRPr="00CC1DA8">
              <w:rPr>
                <w:rStyle w:val="Hyperlink"/>
                <w:rFonts w:cstheme="minorHAnsi"/>
                <w:sz w:val="20"/>
                <w:szCs w:val="20"/>
                <w:lang w:val="en-GB"/>
              </w:rPr>
              <w:t xml:space="preserve"> </w:t>
            </w:r>
          </w:p>
          <w:p w14:paraId="39DDD8DD" w14:textId="77777777" w:rsidR="00B61F28" w:rsidRPr="00CC1DA8" w:rsidRDefault="00B61F28" w:rsidP="00D51EE4">
            <w:pPr>
              <w:rPr>
                <w:rFonts w:eastAsia="Times New Roman" w:cstheme="minorHAnsi"/>
                <w:color w:val="000000"/>
                <w:sz w:val="20"/>
                <w:szCs w:val="20"/>
                <w:lang w:val="en-GB"/>
              </w:rPr>
            </w:pPr>
          </w:p>
          <w:p w14:paraId="6FF36FA3" w14:textId="2F81DFF3" w:rsidR="009A66E3" w:rsidRPr="00CC1DA8" w:rsidRDefault="00AF47F0" w:rsidP="003A0DB7">
            <w:pPr>
              <w:rPr>
                <w:rFonts w:cstheme="minorHAnsi"/>
                <w:sz w:val="20"/>
                <w:szCs w:val="20"/>
                <w:u w:val="single"/>
                <w:lang w:val="fr-FR"/>
              </w:rPr>
            </w:pPr>
            <w:r w:rsidRPr="00CC1DA8">
              <w:rPr>
                <w:rFonts w:eastAsia="Times New Roman" w:cstheme="minorHAnsi"/>
                <w:color w:val="000000"/>
                <w:sz w:val="20"/>
                <w:szCs w:val="20"/>
                <w:u w:val="single"/>
                <w:lang w:val="fr-FR"/>
              </w:rPr>
              <w:t xml:space="preserve">Participation aux réunions de chaque secteur pour faciliter les approches conjointes systématisées  </w:t>
            </w:r>
          </w:p>
          <w:p w14:paraId="690EC669" w14:textId="23B83854" w:rsidR="009A66E3" w:rsidRPr="00CC1DA8" w:rsidRDefault="00AF47F0" w:rsidP="00AF47F0">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 Établir des points focaux (x2 de chaque secteur) pour assister aux réunions des autres  </w:t>
            </w:r>
          </w:p>
          <w:p w14:paraId="015A41B3" w14:textId="0EFC803C" w:rsidR="003723E1" w:rsidRPr="00CC1DA8" w:rsidRDefault="00AF47F0" w:rsidP="00AF47F0">
            <w:pPr>
              <w:pStyle w:val="ListParagraph"/>
              <w:numPr>
                <w:ilvl w:val="0"/>
                <w:numId w:val="21"/>
              </w:numPr>
              <w:spacing w:before="40"/>
              <w:rPr>
                <w:rFonts w:cstheme="minorHAnsi"/>
                <w:b/>
                <w:sz w:val="20"/>
                <w:szCs w:val="20"/>
                <w:lang w:val="fr-FR"/>
              </w:rPr>
            </w:pPr>
            <w:r w:rsidRPr="00CC1DA8">
              <w:rPr>
                <w:rFonts w:eastAsia="Times New Roman" w:cstheme="minorHAnsi"/>
                <w:color w:val="000000"/>
                <w:sz w:val="20"/>
                <w:szCs w:val="20"/>
                <w:lang w:val="fr-FR"/>
              </w:rPr>
              <w:t xml:space="preserve">Inviter des coordonnateurs à participer à des réunions spécifiques pour examiner les points intersectoriels (WCARO, Somalie, Afghanistan, Nigéria, </w:t>
            </w:r>
            <w:proofErr w:type="spellStart"/>
            <w:r w:rsidRPr="00CC1DA8">
              <w:rPr>
                <w:rFonts w:eastAsia="Times New Roman" w:cstheme="minorHAnsi"/>
                <w:color w:val="000000"/>
                <w:sz w:val="20"/>
                <w:szCs w:val="20"/>
                <w:lang w:val="fr-FR"/>
              </w:rPr>
              <w:t>Cox’s</w:t>
            </w:r>
            <w:proofErr w:type="spellEnd"/>
            <w:r w:rsidRPr="00CC1DA8">
              <w:rPr>
                <w:rFonts w:eastAsia="Times New Roman" w:cstheme="minorHAnsi"/>
                <w:color w:val="000000"/>
                <w:sz w:val="20"/>
                <w:szCs w:val="20"/>
                <w:lang w:val="fr-FR"/>
              </w:rPr>
              <w:t xml:space="preserve"> </w:t>
            </w:r>
            <w:proofErr w:type="spellStart"/>
            <w:r w:rsidRPr="00CC1DA8">
              <w:rPr>
                <w:rFonts w:eastAsia="Times New Roman" w:cstheme="minorHAnsi"/>
                <w:color w:val="000000"/>
                <w:sz w:val="20"/>
                <w:szCs w:val="20"/>
                <w:lang w:val="fr-FR"/>
              </w:rPr>
              <w:t>Bazaar</w:t>
            </w:r>
            <w:proofErr w:type="spellEnd"/>
            <w:r w:rsidRPr="00CC1DA8">
              <w:rPr>
                <w:rFonts w:eastAsia="Times New Roman" w:cstheme="minorHAnsi"/>
                <w:color w:val="000000"/>
                <w:sz w:val="20"/>
                <w:szCs w:val="20"/>
                <w:lang w:val="fr-FR"/>
              </w:rPr>
              <w:t xml:space="preserve">, </w:t>
            </w:r>
            <w:proofErr w:type="spellStart"/>
            <w:r w:rsidRPr="00CC1DA8">
              <w:rPr>
                <w:rFonts w:eastAsia="Times New Roman" w:cstheme="minorHAnsi"/>
                <w:color w:val="000000"/>
                <w:sz w:val="20"/>
                <w:szCs w:val="20"/>
                <w:lang w:val="fr-FR"/>
              </w:rPr>
              <w:t>oPt</w:t>
            </w:r>
            <w:proofErr w:type="spellEnd"/>
            <w:r w:rsidRPr="00CC1DA8">
              <w:rPr>
                <w:rFonts w:eastAsia="Times New Roman" w:cstheme="minorHAnsi"/>
                <w:color w:val="000000"/>
                <w:sz w:val="20"/>
                <w:szCs w:val="20"/>
                <w:lang w:val="fr-FR"/>
              </w:rPr>
              <w:t xml:space="preserve">, Iraq);     </w:t>
            </w:r>
          </w:p>
          <w:p w14:paraId="3700D601" w14:textId="4932AA40" w:rsidR="003723E1" w:rsidRPr="00CC1DA8" w:rsidRDefault="00AF47F0" w:rsidP="00C31011">
            <w:pPr>
              <w:pStyle w:val="ListParagraph"/>
              <w:numPr>
                <w:ilvl w:val="0"/>
                <w:numId w:val="21"/>
              </w:numPr>
              <w:spacing w:before="40"/>
              <w:rPr>
                <w:rFonts w:cstheme="minorHAnsi"/>
                <w:b/>
                <w:sz w:val="20"/>
                <w:szCs w:val="20"/>
                <w:lang w:val="fr-FR"/>
              </w:rPr>
            </w:pPr>
            <w:r w:rsidRPr="00CC1DA8">
              <w:rPr>
                <w:rFonts w:cstheme="minorHAnsi"/>
                <w:sz w:val="20"/>
                <w:szCs w:val="20"/>
                <w:lang w:val="fr-FR"/>
              </w:rPr>
              <w:t xml:space="preserve">Réunions conjointes pour examiner des questions communes; Par exemple, pour </w:t>
            </w:r>
            <w:r w:rsidRPr="00CC1DA8">
              <w:rPr>
                <w:rFonts w:cstheme="minorHAnsi"/>
                <w:sz w:val="20"/>
                <w:szCs w:val="20"/>
                <w:lang w:val="fr-FR"/>
              </w:rPr>
              <w:lastRenderedPageBreak/>
              <w:t>la question du travail des enfants à Gaza, le Cluster Protection et le Cluster Education ont tenu des réunions conjointes avec des partenaires pour mieux comprendre les besoins des enfants blessés et ont mis en place des systèmes d’orientation pour y remédier. Des protocoles d’échange d’information ont été mis en pla</w:t>
            </w:r>
            <w:r w:rsidR="0057741F" w:rsidRPr="00CC1DA8">
              <w:rPr>
                <w:rFonts w:cstheme="minorHAnsi"/>
                <w:sz w:val="20"/>
                <w:szCs w:val="20"/>
                <w:lang w:val="fr-FR"/>
              </w:rPr>
              <w:t>ce où l’information intersectorielle</w:t>
            </w:r>
            <w:r w:rsidRPr="00CC1DA8">
              <w:rPr>
                <w:rFonts w:cstheme="minorHAnsi"/>
                <w:sz w:val="20"/>
                <w:szCs w:val="20"/>
                <w:lang w:val="fr-FR"/>
              </w:rPr>
              <w:t xml:space="preserve"> reçue de</w:t>
            </w:r>
            <w:r w:rsidR="0057741F" w:rsidRPr="00CC1DA8">
              <w:rPr>
                <w:rFonts w:cstheme="minorHAnsi"/>
                <w:sz w:val="20"/>
                <w:szCs w:val="20"/>
                <w:lang w:val="fr-FR"/>
              </w:rPr>
              <w:t>s partenaires a été partagée par</w:t>
            </w:r>
            <w:r w:rsidR="002A5044" w:rsidRPr="00CC1DA8">
              <w:rPr>
                <w:rFonts w:cstheme="minorHAnsi"/>
                <w:sz w:val="20"/>
                <w:szCs w:val="20"/>
                <w:lang w:val="fr-FR"/>
              </w:rPr>
              <w:t xml:space="preserve"> la Gestion de l’Information </w:t>
            </w:r>
            <w:r w:rsidRPr="00CC1DA8">
              <w:rPr>
                <w:rFonts w:cstheme="minorHAnsi"/>
                <w:sz w:val="20"/>
                <w:szCs w:val="20"/>
                <w:lang w:val="fr-FR"/>
              </w:rPr>
              <w:t>aux deux coordonnateurs sectoriels</w:t>
            </w:r>
            <w:r w:rsidR="009A66E3" w:rsidRPr="00CC1DA8">
              <w:rPr>
                <w:rFonts w:cstheme="minorHAnsi"/>
                <w:sz w:val="20"/>
                <w:szCs w:val="20"/>
                <w:lang w:val="fr-FR"/>
              </w:rPr>
              <w:t xml:space="preserve"> </w:t>
            </w:r>
            <w:r w:rsidR="009A66E3" w:rsidRPr="00CC1DA8">
              <w:rPr>
                <w:rFonts w:cstheme="minorHAnsi"/>
                <w:b/>
                <w:sz w:val="20"/>
                <w:szCs w:val="20"/>
                <w:lang w:val="fr-FR"/>
              </w:rPr>
              <w:t>(</w:t>
            </w:r>
            <w:proofErr w:type="spellStart"/>
            <w:r w:rsidR="009A66E3" w:rsidRPr="00CC1DA8">
              <w:rPr>
                <w:rFonts w:cstheme="minorHAnsi"/>
                <w:b/>
                <w:sz w:val="20"/>
                <w:szCs w:val="20"/>
                <w:lang w:val="fr-FR"/>
              </w:rPr>
              <w:t>oPt</w:t>
            </w:r>
            <w:proofErr w:type="spellEnd"/>
            <w:r w:rsidR="009A66E3" w:rsidRPr="00CC1DA8">
              <w:rPr>
                <w:rFonts w:cstheme="minorHAnsi"/>
                <w:b/>
                <w:sz w:val="20"/>
                <w:szCs w:val="20"/>
                <w:lang w:val="fr-FR"/>
              </w:rPr>
              <w:t>)</w:t>
            </w:r>
          </w:p>
          <w:p w14:paraId="58B44166" w14:textId="2793FB1C" w:rsidR="003723E1" w:rsidRPr="00CC1DA8" w:rsidRDefault="00AF47F0" w:rsidP="003A0DB7">
            <w:pPr>
              <w:rPr>
                <w:rFonts w:eastAsia="Times New Roman" w:cstheme="minorHAnsi"/>
                <w:color w:val="000000"/>
                <w:sz w:val="20"/>
                <w:szCs w:val="20"/>
                <w:u w:val="single"/>
                <w:lang w:val="en-GB"/>
              </w:rPr>
            </w:pPr>
            <w:proofErr w:type="spellStart"/>
            <w:r w:rsidRPr="00CC1DA8">
              <w:rPr>
                <w:rFonts w:eastAsia="Times New Roman" w:cstheme="minorHAnsi"/>
                <w:color w:val="000000"/>
                <w:sz w:val="20"/>
                <w:szCs w:val="20"/>
                <w:u w:val="single"/>
                <w:lang w:val="en-GB"/>
              </w:rPr>
              <w:t>Mécanismes</w:t>
            </w:r>
            <w:proofErr w:type="spellEnd"/>
            <w:r w:rsidRPr="00CC1DA8">
              <w:rPr>
                <w:rFonts w:eastAsia="Times New Roman" w:cstheme="minorHAnsi"/>
                <w:color w:val="000000"/>
                <w:sz w:val="20"/>
                <w:szCs w:val="20"/>
                <w:u w:val="single"/>
                <w:lang w:val="en-GB"/>
              </w:rPr>
              <w:t xml:space="preserve"> de </w:t>
            </w:r>
            <w:proofErr w:type="spellStart"/>
            <w:r w:rsidRPr="00CC1DA8">
              <w:rPr>
                <w:rFonts w:eastAsia="Times New Roman" w:cstheme="minorHAnsi"/>
                <w:color w:val="000000"/>
                <w:sz w:val="20"/>
                <w:szCs w:val="20"/>
                <w:u w:val="single"/>
                <w:lang w:val="en-GB"/>
              </w:rPr>
              <w:t>référence</w:t>
            </w:r>
            <w:proofErr w:type="spellEnd"/>
            <w:r w:rsidRPr="00CC1DA8">
              <w:rPr>
                <w:rFonts w:eastAsia="Times New Roman" w:cstheme="minorHAnsi"/>
                <w:color w:val="000000"/>
                <w:sz w:val="20"/>
                <w:szCs w:val="20"/>
                <w:u w:val="single"/>
                <w:lang w:val="en-GB"/>
              </w:rPr>
              <w:t xml:space="preserve"> </w:t>
            </w:r>
            <w:proofErr w:type="spellStart"/>
            <w:r w:rsidRPr="00CC1DA8">
              <w:rPr>
                <w:rFonts w:eastAsia="Times New Roman" w:cstheme="minorHAnsi"/>
                <w:color w:val="000000"/>
                <w:sz w:val="20"/>
                <w:szCs w:val="20"/>
                <w:u w:val="single"/>
                <w:lang w:val="en-GB"/>
              </w:rPr>
              <w:t>intersectoriels</w:t>
            </w:r>
            <w:proofErr w:type="spellEnd"/>
            <w:r w:rsidRPr="00CC1DA8">
              <w:rPr>
                <w:rFonts w:eastAsia="Times New Roman" w:cstheme="minorHAnsi"/>
                <w:color w:val="000000"/>
                <w:sz w:val="20"/>
                <w:szCs w:val="20"/>
                <w:u w:val="single"/>
                <w:lang w:val="en-GB"/>
              </w:rPr>
              <w:t xml:space="preserve">   </w:t>
            </w:r>
          </w:p>
          <w:p w14:paraId="163DDBB2" w14:textId="07552B7E" w:rsidR="00B61F28" w:rsidRPr="00CC1DA8" w:rsidRDefault="00851E2A" w:rsidP="00851E2A">
            <w:pPr>
              <w:pStyle w:val="ListParagraph"/>
              <w:numPr>
                <w:ilvl w:val="0"/>
                <w:numId w:val="21"/>
              </w:numPr>
              <w:spacing w:before="40"/>
              <w:rPr>
                <w:rFonts w:cstheme="minorHAnsi"/>
                <w:sz w:val="20"/>
                <w:szCs w:val="20"/>
                <w:lang w:val="fr-FR"/>
              </w:rPr>
            </w:pPr>
            <w:r w:rsidRPr="00CC1DA8">
              <w:rPr>
                <w:rFonts w:cstheme="minorHAnsi"/>
                <w:color w:val="4472C4" w:themeColor="accent1"/>
                <w:sz w:val="20"/>
                <w:szCs w:val="20"/>
                <w:lang w:val="fr-FR"/>
              </w:rPr>
              <w:t xml:space="preserve">Outil de cartographie des services </w:t>
            </w:r>
            <w:r w:rsidRPr="00CC1DA8">
              <w:rPr>
                <w:rFonts w:cstheme="minorHAnsi"/>
                <w:sz w:val="20"/>
                <w:szCs w:val="20"/>
                <w:lang w:val="fr-FR"/>
              </w:rPr>
              <w:t>du C</w:t>
            </w:r>
            <w:r w:rsidR="007518E7" w:rsidRPr="00CC1DA8">
              <w:rPr>
                <w:rFonts w:cstheme="minorHAnsi"/>
                <w:sz w:val="20"/>
                <w:szCs w:val="20"/>
                <w:lang w:val="fr-FR"/>
              </w:rPr>
              <w:t xml:space="preserve">luster </w:t>
            </w:r>
            <w:r w:rsidRPr="00CC1DA8">
              <w:rPr>
                <w:rFonts w:cstheme="minorHAnsi"/>
                <w:sz w:val="20"/>
                <w:szCs w:val="20"/>
                <w:lang w:val="fr-FR"/>
              </w:rPr>
              <w:t>P</w:t>
            </w:r>
            <w:r w:rsidR="007518E7" w:rsidRPr="00CC1DA8">
              <w:rPr>
                <w:rFonts w:cstheme="minorHAnsi"/>
                <w:sz w:val="20"/>
                <w:szCs w:val="20"/>
                <w:lang w:val="fr-FR"/>
              </w:rPr>
              <w:t>rotection</w:t>
            </w:r>
            <w:r w:rsidRPr="00CC1DA8">
              <w:rPr>
                <w:rFonts w:cstheme="minorHAnsi"/>
                <w:sz w:val="20"/>
                <w:szCs w:val="20"/>
                <w:lang w:val="fr-FR"/>
              </w:rPr>
              <w:t xml:space="preserve"> </w:t>
            </w:r>
            <w:r w:rsidR="00B61F28" w:rsidRPr="00CC1DA8">
              <w:rPr>
                <w:rFonts w:cstheme="minorHAnsi"/>
                <w:sz w:val="20"/>
                <w:szCs w:val="20"/>
                <w:lang w:val="fr-FR"/>
              </w:rPr>
              <w:t>(</w:t>
            </w:r>
            <w:proofErr w:type="spellStart"/>
            <w:r w:rsidR="00B61F28" w:rsidRPr="00CC1DA8">
              <w:rPr>
                <w:rFonts w:cstheme="minorHAnsi"/>
                <w:b/>
                <w:sz w:val="20"/>
                <w:szCs w:val="20"/>
                <w:lang w:val="fr-FR"/>
              </w:rPr>
              <w:t>Somalia</w:t>
            </w:r>
            <w:proofErr w:type="spellEnd"/>
            <w:r w:rsidR="00B61F28" w:rsidRPr="00CC1DA8">
              <w:rPr>
                <w:rFonts w:cstheme="minorHAnsi"/>
                <w:b/>
                <w:sz w:val="20"/>
                <w:szCs w:val="20"/>
                <w:lang w:val="fr-FR"/>
              </w:rPr>
              <w:t>)</w:t>
            </w:r>
          </w:p>
          <w:p w14:paraId="4E596B78" w14:textId="5B9C3750" w:rsidR="00B61F28" w:rsidRPr="00CC1DA8" w:rsidRDefault="00851E2A" w:rsidP="00851E2A">
            <w:pPr>
              <w:pStyle w:val="ListParagraph"/>
              <w:numPr>
                <w:ilvl w:val="0"/>
                <w:numId w:val="21"/>
              </w:numPr>
              <w:spacing w:before="40"/>
              <w:rPr>
                <w:rFonts w:cstheme="minorHAnsi"/>
                <w:sz w:val="20"/>
                <w:szCs w:val="20"/>
                <w:lang w:val="fr-FR"/>
              </w:rPr>
            </w:pPr>
            <w:r w:rsidRPr="00CC1DA8">
              <w:rPr>
                <w:rFonts w:cstheme="minorHAnsi"/>
                <w:color w:val="4472C4" w:themeColor="accent1"/>
                <w:sz w:val="20"/>
                <w:szCs w:val="20"/>
              </w:rPr>
              <w:t>Point focal C</w:t>
            </w:r>
            <w:r w:rsidR="007518E7" w:rsidRPr="00CC1DA8">
              <w:rPr>
                <w:rFonts w:cstheme="minorHAnsi"/>
                <w:color w:val="4472C4" w:themeColor="accent1"/>
                <w:sz w:val="20"/>
                <w:szCs w:val="20"/>
              </w:rPr>
              <w:t xml:space="preserve">luster </w:t>
            </w:r>
            <w:r w:rsidRPr="00CC1DA8">
              <w:rPr>
                <w:rFonts w:cstheme="minorHAnsi"/>
                <w:color w:val="4472C4" w:themeColor="accent1"/>
                <w:sz w:val="20"/>
                <w:szCs w:val="20"/>
              </w:rPr>
              <w:t>P</w:t>
            </w:r>
            <w:r w:rsidR="007518E7" w:rsidRPr="00CC1DA8">
              <w:rPr>
                <w:rFonts w:cstheme="minorHAnsi"/>
                <w:color w:val="4472C4" w:themeColor="accent1"/>
                <w:sz w:val="20"/>
                <w:szCs w:val="20"/>
              </w:rPr>
              <w:t>rotection</w:t>
            </w:r>
            <w:r w:rsidRPr="00CC1DA8">
              <w:rPr>
                <w:rFonts w:cstheme="minorHAnsi"/>
                <w:color w:val="4472C4" w:themeColor="accent1"/>
                <w:sz w:val="20"/>
                <w:szCs w:val="20"/>
              </w:rPr>
              <w:t xml:space="preserve"> dans les Termes des Références des écoles</w:t>
            </w:r>
            <w:r w:rsidR="00B61F28" w:rsidRPr="00CC1DA8">
              <w:rPr>
                <w:rFonts w:cstheme="minorHAnsi"/>
                <w:color w:val="4472C4" w:themeColor="accent1"/>
                <w:sz w:val="20"/>
                <w:szCs w:val="20"/>
                <w:lang w:val="fr-FR"/>
              </w:rPr>
              <w:t xml:space="preserve"> </w:t>
            </w:r>
            <w:r w:rsidR="00B61F28" w:rsidRPr="00CC1DA8">
              <w:rPr>
                <w:rFonts w:cstheme="minorHAnsi"/>
                <w:sz w:val="20"/>
                <w:szCs w:val="20"/>
                <w:lang w:val="fr-FR"/>
              </w:rPr>
              <w:t>(</w:t>
            </w:r>
            <w:proofErr w:type="spellStart"/>
            <w:r w:rsidR="00B61F28" w:rsidRPr="00CC1DA8">
              <w:rPr>
                <w:rFonts w:cstheme="minorHAnsi"/>
                <w:b/>
                <w:sz w:val="20"/>
                <w:szCs w:val="20"/>
                <w:lang w:val="fr-FR"/>
              </w:rPr>
              <w:t>Somalia</w:t>
            </w:r>
            <w:proofErr w:type="spellEnd"/>
            <w:r w:rsidR="00B61F28" w:rsidRPr="00CC1DA8">
              <w:rPr>
                <w:rFonts w:cstheme="minorHAnsi"/>
                <w:b/>
                <w:sz w:val="20"/>
                <w:szCs w:val="20"/>
                <w:lang w:val="fr-FR"/>
              </w:rPr>
              <w:t>)</w:t>
            </w:r>
          </w:p>
          <w:p w14:paraId="233D5914" w14:textId="705100C1" w:rsidR="002B0D60" w:rsidRPr="00CC1DA8" w:rsidRDefault="00480182" w:rsidP="00851E2A">
            <w:pPr>
              <w:pStyle w:val="ListParagraph"/>
              <w:numPr>
                <w:ilvl w:val="0"/>
                <w:numId w:val="21"/>
              </w:numPr>
              <w:spacing w:before="40"/>
              <w:rPr>
                <w:rFonts w:cstheme="minorHAnsi"/>
                <w:sz w:val="20"/>
                <w:szCs w:val="20"/>
                <w:lang w:val="fr-FR"/>
              </w:rPr>
            </w:pPr>
            <w:r w:rsidRPr="00CC1DA8">
              <w:rPr>
                <w:rFonts w:cstheme="minorHAnsi"/>
                <w:color w:val="4472C4" w:themeColor="accent1"/>
                <w:sz w:val="20"/>
                <w:szCs w:val="20"/>
                <w:lang w:val="fr-FR"/>
              </w:rPr>
              <w:t>Règles des procédures</w:t>
            </w:r>
            <w:r w:rsidR="00851E2A" w:rsidRPr="00CC1DA8">
              <w:rPr>
                <w:rFonts w:cstheme="minorHAnsi"/>
                <w:color w:val="4472C4" w:themeColor="accent1"/>
                <w:sz w:val="20"/>
                <w:szCs w:val="20"/>
                <w:lang w:val="fr-FR"/>
              </w:rPr>
              <w:t xml:space="preserve"> inter-agence </w:t>
            </w:r>
            <w:r w:rsidR="00851E2A" w:rsidRPr="00CC1DA8">
              <w:rPr>
                <w:rFonts w:cstheme="minorHAnsi"/>
                <w:sz w:val="20"/>
                <w:szCs w:val="20"/>
              </w:rPr>
              <w:t>pour la gestion des cas des Protection de</w:t>
            </w:r>
            <w:r w:rsidR="007518E7" w:rsidRPr="00CC1DA8">
              <w:rPr>
                <w:rFonts w:cstheme="minorHAnsi"/>
                <w:sz w:val="20"/>
                <w:szCs w:val="20"/>
              </w:rPr>
              <w:t>s Enfants</w:t>
            </w:r>
            <w:r w:rsidR="002B0D60" w:rsidRPr="00CC1DA8">
              <w:rPr>
                <w:rFonts w:cstheme="minorHAnsi"/>
                <w:sz w:val="20"/>
                <w:szCs w:val="20"/>
                <w:lang w:val="fr-FR"/>
              </w:rPr>
              <w:t xml:space="preserve"> </w:t>
            </w:r>
            <w:r w:rsidR="002B0D60" w:rsidRPr="00CC1DA8">
              <w:rPr>
                <w:rFonts w:cstheme="minorHAnsi"/>
                <w:b/>
                <w:bCs/>
                <w:sz w:val="20"/>
                <w:szCs w:val="20"/>
                <w:lang w:val="fr-FR"/>
              </w:rPr>
              <w:t>(</w:t>
            </w:r>
            <w:proofErr w:type="spellStart"/>
            <w:r w:rsidR="002B0D60" w:rsidRPr="00CC1DA8">
              <w:rPr>
                <w:rFonts w:cstheme="minorHAnsi"/>
                <w:b/>
                <w:bCs/>
                <w:sz w:val="20"/>
                <w:szCs w:val="20"/>
                <w:lang w:val="fr-FR"/>
              </w:rPr>
              <w:t>oPt</w:t>
            </w:r>
            <w:proofErr w:type="spellEnd"/>
            <w:r w:rsidR="002B0D60" w:rsidRPr="00CC1DA8">
              <w:rPr>
                <w:rFonts w:cstheme="minorHAnsi"/>
                <w:b/>
                <w:bCs/>
                <w:sz w:val="20"/>
                <w:szCs w:val="20"/>
                <w:lang w:val="fr-FR"/>
              </w:rPr>
              <w:t>)</w:t>
            </w:r>
          </w:p>
        </w:tc>
        <w:tc>
          <w:tcPr>
            <w:tcW w:w="3119" w:type="dxa"/>
          </w:tcPr>
          <w:p w14:paraId="5CC8B82D" w14:textId="6B9BECDB" w:rsidR="00AE0E1B" w:rsidRPr="00CC1DA8" w:rsidRDefault="00AE0E1B" w:rsidP="00AE0E1B">
            <w:pPr>
              <w:spacing w:before="40"/>
              <w:rPr>
                <w:rFonts w:cstheme="minorHAnsi"/>
                <w:sz w:val="20"/>
                <w:szCs w:val="20"/>
                <w:lang w:val="fr-FR"/>
              </w:rPr>
            </w:pPr>
            <w:bookmarkStart w:id="1" w:name="_Hlk43119413"/>
            <w:r w:rsidRPr="00CC1DA8">
              <w:rPr>
                <w:rFonts w:cstheme="minorHAnsi"/>
                <w:sz w:val="20"/>
                <w:szCs w:val="20"/>
                <w:lang w:val="fr-FR"/>
              </w:rPr>
              <w:lastRenderedPageBreak/>
              <w:t> </w:t>
            </w:r>
            <w:bookmarkEnd w:id="1"/>
            <w:r w:rsidR="00695370" w:rsidRPr="00CC1DA8">
              <w:rPr>
                <w:rFonts w:cstheme="minorHAnsi"/>
                <w:sz w:val="20"/>
                <w:szCs w:val="20"/>
                <w:u w:val="single"/>
                <w:lang w:val="fr-FR"/>
              </w:rPr>
              <w:t>Normes techniques</w:t>
            </w:r>
            <w:r w:rsidR="00695370" w:rsidRPr="00CC1DA8">
              <w:rPr>
                <w:rFonts w:cstheme="minorHAnsi"/>
                <w:sz w:val="20"/>
                <w:szCs w:val="20"/>
                <w:lang w:val="fr-FR"/>
              </w:rPr>
              <w:t xml:space="preserve"> élaborées par un secteur pour appuyer la prestation d’activités complémentaires ou intégrées par l’entremise de l’autre secteur : </w:t>
            </w:r>
          </w:p>
          <w:p w14:paraId="1B4E7E47" w14:textId="7FD0F757" w:rsidR="00AE0E1B" w:rsidRPr="00CC1DA8" w:rsidRDefault="00695370" w:rsidP="00051154">
            <w:pPr>
              <w:pStyle w:val="ListParagraph"/>
              <w:spacing w:after="160" w:line="259" w:lineRule="auto"/>
              <w:rPr>
                <w:rStyle w:val="Hyperlink"/>
                <w:rFonts w:cstheme="minorHAnsi"/>
                <w:b/>
                <w:color w:val="auto"/>
                <w:sz w:val="20"/>
                <w:szCs w:val="20"/>
                <w:u w:val="none"/>
                <w:lang w:val="fr-FR"/>
              </w:rPr>
            </w:pPr>
            <w:r w:rsidRPr="00CC1DA8">
              <w:rPr>
                <w:rFonts w:cstheme="minorHAnsi"/>
                <w:sz w:val="20"/>
                <w:szCs w:val="20"/>
                <w:lang w:val="fr-FR"/>
              </w:rPr>
              <w:t xml:space="preserve">Normes d’activité pour les activités intégrées fixées par le Cluster Protection, avec des responsabilités définies dans </w:t>
            </w:r>
            <w:r w:rsidRPr="00CC1DA8">
              <w:rPr>
                <w:rFonts w:cstheme="minorHAnsi"/>
                <w:color w:val="4472C4" w:themeColor="accent1"/>
                <w:sz w:val="20"/>
                <w:szCs w:val="20"/>
                <w:lang w:val="fr-FR"/>
              </w:rPr>
              <w:t>l’Education Intégrée – Cadre de Réponse</w:t>
            </w:r>
            <w:r w:rsidR="002E4E76" w:rsidRPr="00CC1DA8">
              <w:rPr>
                <w:rFonts w:cstheme="minorHAnsi"/>
                <w:color w:val="4472C4" w:themeColor="accent1"/>
                <w:sz w:val="20"/>
                <w:szCs w:val="20"/>
                <w:lang w:val="fr-FR"/>
              </w:rPr>
              <w:t xml:space="preserve"> pour la Protection des </w:t>
            </w:r>
            <w:r w:rsidRPr="00CC1DA8">
              <w:rPr>
                <w:rFonts w:cstheme="minorHAnsi"/>
                <w:color w:val="4472C4" w:themeColor="accent1"/>
                <w:sz w:val="20"/>
                <w:szCs w:val="20"/>
                <w:lang w:val="fr-FR"/>
              </w:rPr>
              <w:t>E</w:t>
            </w:r>
            <w:r w:rsidR="002E4E76" w:rsidRPr="00CC1DA8">
              <w:rPr>
                <w:rFonts w:cstheme="minorHAnsi"/>
                <w:color w:val="4472C4" w:themeColor="accent1"/>
                <w:sz w:val="20"/>
                <w:szCs w:val="20"/>
                <w:lang w:val="fr-FR"/>
              </w:rPr>
              <w:t>nfants</w:t>
            </w:r>
            <w:r w:rsidRPr="00CC1DA8">
              <w:rPr>
                <w:rFonts w:cstheme="minorHAnsi"/>
                <w:sz w:val="20"/>
                <w:szCs w:val="20"/>
                <w:lang w:val="fr-FR"/>
              </w:rPr>
              <w:t xml:space="preserve"> (</w:t>
            </w:r>
            <w:r w:rsidRPr="00CC1DA8">
              <w:rPr>
                <w:rFonts w:cstheme="minorHAnsi"/>
                <w:b/>
                <w:sz w:val="20"/>
                <w:szCs w:val="20"/>
                <w:lang w:val="fr-FR"/>
              </w:rPr>
              <w:t>Somalie</w:t>
            </w:r>
            <w:r w:rsidRPr="00CC1DA8">
              <w:rPr>
                <w:rFonts w:cstheme="minorHAnsi"/>
                <w:sz w:val="20"/>
                <w:szCs w:val="20"/>
                <w:lang w:val="fr-FR"/>
              </w:rPr>
              <w:t xml:space="preserve">) </w:t>
            </w:r>
          </w:p>
          <w:p w14:paraId="22218294" w14:textId="5E832A7C" w:rsidR="009A66E3" w:rsidRPr="00CC1DA8" w:rsidRDefault="009A66E3" w:rsidP="009A66E3">
            <w:pPr>
              <w:ind w:right="-89"/>
              <w:rPr>
                <w:rFonts w:eastAsia="Calibri" w:cstheme="minorHAnsi"/>
                <w:sz w:val="20"/>
                <w:szCs w:val="20"/>
                <w:lang w:val="fr-FR"/>
              </w:rPr>
            </w:pPr>
          </w:p>
          <w:p w14:paraId="3C64143D" w14:textId="349431FC" w:rsidR="009A66E3" w:rsidRPr="00CC1DA8" w:rsidRDefault="00695370" w:rsidP="003A0DB7">
            <w:pPr>
              <w:rPr>
                <w:rFonts w:cstheme="minorHAnsi"/>
                <w:sz w:val="20"/>
                <w:szCs w:val="20"/>
                <w:lang w:val="fr-FR"/>
              </w:rPr>
            </w:pPr>
            <w:r w:rsidRPr="00CC1DA8">
              <w:rPr>
                <w:rFonts w:cstheme="minorHAnsi"/>
                <w:sz w:val="20"/>
                <w:szCs w:val="20"/>
                <w:u w:val="single"/>
                <w:lang w:val="fr-FR"/>
              </w:rPr>
              <w:t>Conseils techniques et formation</w:t>
            </w:r>
            <w:r w:rsidRPr="00CC1DA8">
              <w:rPr>
                <w:rFonts w:cstheme="minorHAnsi"/>
                <w:sz w:val="20"/>
                <w:szCs w:val="20"/>
                <w:lang w:val="fr-FR"/>
              </w:rPr>
              <w:t xml:space="preserve"> fournis par un cluster pour soutenir l’autre (reconnaît les forces techniques des deux secteurs) :        </w:t>
            </w:r>
          </w:p>
          <w:p w14:paraId="66694BE3" w14:textId="108F3428" w:rsidR="009A66E3" w:rsidRPr="00CC1DA8" w:rsidRDefault="006045E3" w:rsidP="006045E3">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Le Cluster Protection forme les enseignants aux mécanismes des références;</w:t>
            </w:r>
            <w:r w:rsidR="00DE3A4E" w:rsidRPr="00CC1DA8">
              <w:rPr>
                <w:rFonts w:eastAsia="Times New Roman" w:cstheme="minorHAnsi"/>
                <w:color w:val="000000"/>
                <w:sz w:val="20"/>
                <w:szCs w:val="20"/>
                <w:lang w:val="fr-FR"/>
              </w:rPr>
              <w:t xml:space="preserve"> </w:t>
            </w:r>
            <w:r w:rsidR="00DE3A4E" w:rsidRPr="00CC1DA8">
              <w:rPr>
                <w:rFonts w:cstheme="minorHAnsi"/>
                <w:color w:val="000000"/>
                <w:sz w:val="20"/>
                <w:szCs w:val="20"/>
                <w:lang w:val="fr-FR"/>
              </w:rPr>
              <w:t>(</w:t>
            </w:r>
            <w:r w:rsidRPr="00CC1DA8">
              <w:rPr>
                <w:rFonts w:eastAsia="Times New Roman" w:cstheme="minorHAnsi"/>
                <w:b/>
                <w:color w:val="000000"/>
                <w:sz w:val="20"/>
                <w:szCs w:val="20"/>
                <w:lang w:val="fr-FR"/>
              </w:rPr>
              <w:t>Sud</w:t>
            </w:r>
            <w:r w:rsidR="00DE3A4E" w:rsidRPr="00CC1DA8">
              <w:rPr>
                <w:rFonts w:eastAsia="Times New Roman" w:cstheme="minorHAnsi"/>
                <w:b/>
                <w:color w:val="000000"/>
                <w:sz w:val="20"/>
                <w:szCs w:val="20"/>
                <w:lang w:val="fr-FR"/>
              </w:rPr>
              <w:t xml:space="preserve"> S</w:t>
            </w:r>
            <w:r w:rsidRPr="00CC1DA8">
              <w:rPr>
                <w:rFonts w:eastAsia="Times New Roman" w:cstheme="minorHAnsi"/>
                <w:b/>
                <w:color w:val="000000"/>
                <w:sz w:val="20"/>
                <w:szCs w:val="20"/>
                <w:lang w:val="fr-FR"/>
              </w:rPr>
              <w:t>o</w:t>
            </w:r>
            <w:r w:rsidR="00DE3A4E" w:rsidRPr="00CC1DA8">
              <w:rPr>
                <w:rFonts w:eastAsia="Times New Roman" w:cstheme="minorHAnsi"/>
                <w:b/>
                <w:color w:val="000000"/>
                <w:sz w:val="20"/>
                <w:szCs w:val="20"/>
                <w:lang w:val="fr-FR"/>
              </w:rPr>
              <w:t>udan)</w:t>
            </w:r>
          </w:p>
          <w:p w14:paraId="70913A99" w14:textId="3575E01B" w:rsidR="009A66E3" w:rsidRPr="00CC1DA8" w:rsidRDefault="006045E3" w:rsidP="006045E3">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Le Cluster Protection forme des partenaires de </w:t>
            </w:r>
            <w:r w:rsidRPr="00CC1DA8">
              <w:rPr>
                <w:rFonts w:eastAsia="Times New Roman" w:cstheme="minorHAnsi"/>
                <w:color w:val="000000"/>
                <w:sz w:val="20"/>
                <w:szCs w:val="20"/>
                <w:lang w:val="fr-FR"/>
              </w:rPr>
              <w:lastRenderedPageBreak/>
              <w:t xml:space="preserve">l’éducation sur les PSS </w:t>
            </w:r>
            <w:r w:rsidR="00DE3A4E" w:rsidRPr="00CC1DA8">
              <w:rPr>
                <w:rFonts w:eastAsia="Times New Roman" w:cstheme="minorHAnsi"/>
                <w:color w:val="000000"/>
                <w:sz w:val="20"/>
                <w:szCs w:val="20"/>
                <w:lang w:val="fr-FR"/>
              </w:rPr>
              <w:t>(</w:t>
            </w:r>
            <w:r w:rsidRPr="00CC1DA8">
              <w:rPr>
                <w:rFonts w:eastAsia="Times New Roman" w:cstheme="minorHAnsi"/>
                <w:b/>
                <w:color w:val="000000"/>
                <w:sz w:val="20"/>
                <w:szCs w:val="20"/>
                <w:lang w:val="fr-FR"/>
              </w:rPr>
              <w:t xml:space="preserve">Sud </w:t>
            </w:r>
            <w:r w:rsidR="00DE3A4E" w:rsidRPr="00CC1DA8">
              <w:rPr>
                <w:rFonts w:eastAsia="Times New Roman" w:cstheme="minorHAnsi"/>
                <w:b/>
                <w:color w:val="000000"/>
                <w:sz w:val="20"/>
                <w:szCs w:val="20"/>
                <w:lang w:val="fr-FR"/>
              </w:rPr>
              <w:t>S</w:t>
            </w:r>
            <w:r w:rsidRPr="00CC1DA8">
              <w:rPr>
                <w:rFonts w:eastAsia="Times New Roman" w:cstheme="minorHAnsi"/>
                <w:b/>
                <w:color w:val="000000"/>
                <w:sz w:val="20"/>
                <w:szCs w:val="20"/>
                <w:lang w:val="fr-FR"/>
              </w:rPr>
              <w:t>o</w:t>
            </w:r>
            <w:r w:rsidR="00DE3A4E" w:rsidRPr="00CC1DA8">
              <w:rPr>
                <w:rFonts w:eastAsia="Times New Roman" w:cstheme="minorHAnsi"/>
                <w:b/>
                <w:color w:val="000000"/>
                <w:sz w:val="20"/>
                <w:szCs w:val="20"/>
                <w:lang w:val="fr-FR"/>
              </w:rPr>
              <w:t>udan)</w:t>
            </w:r>
          </w:p>
          <w:p w14:paraId="0E81F872" w14:textId="17674F4A" w:rsidR="009A66E3" w:rsidRPr="00CC1DA8" w:rsidRDefault="004320F6" w:rsidP="004320F6">
            <w:pPr>
              <w:pStyle w:val="ListParagraph"/>
              <w:numPr>
                <w:ilvl w:val="0"/>
                <w:numId w:val="21"/>
              </w:numPr>
              <w:spacing w:before="40"/>
              <w:rPr>
                <w:rFonts w:cstheme="minorHAnsi"/>
                <w:sz w:val="20"/>
                <w:szCs w:val="20"/>
                <w:lang w:val="fr-FR"/>
              </w:rPr>
            </w:pPr>
            <w:r w:rsidRPr="00CC1DA8">
              <w:rPr>
                <w:rFonts w:eastAsia="Times New Roman" w:cstheme="minorHAnsi"/>
                <w:i/>
                <w:color w:val="000000"/>
                <w:sz w:val="20"/>
                <w:szCs w:val="20"/>
                <w:lang w:val="fr-FR"/>
              </w:rPr>
              <w:t>Le Cluster Protection fournit une formation et des conseils sur la protection des données au niveau des bénéficiaires</w:t>
            </w:r>
            <w:r w:rsidR="00DE3A4E" w:rsidRPr="00CC1DA8">
              <w:rPr>
                <w:rFonts w:eastAsia="Times New Roman" w:cstheme="minorHAnsi"/>
                <w:color w:val="000000"/>
                <w:sz w:val="20"/>
                <w:szCs w:val="20"/>
                <w:lang w:val="fr-FR"/>
              </w:rPr>
              <w:t xml:space="preserve"> (</w:t>
            </w:r>
            <w:proofErr w:type="spellStart"/>
            <w:r w:rsidR="00DE3A4E" w:rsidRPr="00CC1DA8">
              <w:rPr>
                <w:rFonts w:eastAsia="Calibri" w:cstheme="minorHAnsi"/>
                <w:b/>
                <w:bCs/>
                <w:sz w:val="20"/>
                <w:szCs w:val="20"/>
                <w:lang w:val="fr-FR"/>
              </w:rPr>
              <w:t>Cox’s</w:t>
            </w:r>
            <w:proofErr w:type="spellEnd"/>
            <w:r w:rsidR="00DE3A4E" w:rsidRPr="00CC1DA8">
              <w:rPr>
                <w:rFonts w:eastAsia="Calibri" w:cstheme="minorHAnsi"/>
                <w:b/>
                <w:bCs/>
                <w:sz w:val="20"/>
                <w:szCs w:val="20"/>
                <w:lang w:val="fr-FR"/>
              </w:rPr>
              <w:t xml:space="preserve"> </w:t>
            </w:r>
            <w:proofErr w:type="spellStart"/>
            <w:r w:rsidR="00DE3A4E" w:rsidRPr="00CC1DA8">
              <w:rPr>
                <w:rFonts w:eastAsia="Calibri" w:cstheme="minorHAnsi"/>
                <w:b/>
                <w:bCs/>
                <w:sz w:val="20"/>
                <w:szCs w:val="20"/>
                <w:lang w:val="fr-FR"/>
              </w:rPr>
              <w:t>Bazaar</w:t>
            </w:r>
            <w:proofErr w:type="spellEnd"/>
            <w:r w:rsidR="00DE3A4E" w:rsidRPr="00CC1DA8">
              <w:rPr>
                <w:rFonts w:eastAsia="Calibri" w:cstheme="minorHAnsi"/>
                <w:b/>
                <w:bCs/>
                <w:sz w:val="20"/>
                <w:szCs w:val="20"/>
                <w:lang w:val="fr-FR"/>
              </w:rPr>
              <w:t>)</w:t>
            </w:r>
          </w:p>
          <w:p w14:paraId="2B24E071" w14:textId="1531CC3F" w:rsidR="009A66E3" w:rsidRPr="00CC1DA8" w:rsidRDefault="004320F6" w:rsidP="004320F6">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L’équipe de MRM de l’UNICEF a fourni 3 orientations sur le terrain aux partenaires du secteur de </w:t>
            </w:r>
            <w:proofErr w:type="spellStart"/>
            <w:r w:rsidRPr="00CC1DA8">
              <w:rPr>
                <w:rFonts w:eastAsia="Times New Roman" w:cstheme="minorHAnsi"/>
                <w:color w:val="000000"/>
                <w:sz w:val="20"/>
                <w:szCs w:val="20"/>
                <w:lang w:val="fr-FR"/>
              </w:rPr>
              <w:t>l’EiE</w:t>
            </w:r>
            <w:proofErr w:type="spellEnd"/>
            <w:r w:rsidR="00DE3A4E" w:rsidRPr="00CC1DA8">
              <w:rPr>
                <w:rFonts w:eastAsia="Times New Roman" w:cstheme="minorHAnsi"/>
                <w:color w:val="000000"/>
                <w:sz w:val="20"/>
                <w:szCs w:val="20"/>
                <w:lang w:val="fr-FR"/>
              </w:rPr>
              <w:t xml:space="preserve"> (</w:t>
            </w:r>
            <w:r w:rsidR="00DE3A4E" w:rsidRPr="00CC1DA8">
              <w:rPr>
                <w:rFonts w:eastAsia="Times New Roman" w:cstheme="minorHAnsi"/>
                <w:b/>
                <w:color w:val="000000"/>
                <w:sz w:val="20"/>
                <w:szCs w:val="20"/>
                <w:lang w:val="fr-FR"/>
              </w:rPr>
              <w:t>Myanmar)</w:t>
            </w:r>
          </w:p>
          <w:p w14:paraId="40C31D47" w14:textId="5E799AFB" w:rsidR="009A66E3" w:rsidRPr="00CC1DA8" w:rsidRDefault="00B01A9C" w:rsidP="004320F6">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Le Cluster E</w:t>
            </w:r>
            <w:r w:rsidR="004320F6" w:rsidRPr="00CC1DA8">
              <w:rPr>
                <w:rFonts w:eastAsia="Times New Roman" w:cstheme="minorHAnsi"/>
                <w:color w:val="000000"/>
                <w:sz w:val="20"/>
                <w:szCs w:val="20"/>
                <w:lang w:val="fr-FR"/>
              </w:rPr>
              <w:t xml:space="preserve">ducation </w:t>
            </w:r>
            <w:r w:rsidRPr="00CC1DA8">
              <w:rPr>
                <w:rFonts w:eastAsia="Times New Roman" w:cstheme="minorHAnsi"/>
                <w:color w:val="000000"/>
                <w:sz w:val="20"/>
                <w:szCs w:val="20"/>
                <w:lang w:val="fr-FR"/>
              </w:rPr>
              <w:t xml:space="preserve"> a formé le Cluster </w:t>
            </w:r>
            <w:r w:rsidR="004320F6" w:rsidRPr="00CC1DA8">
              <w:rPr>
                <w:rFonts w:eastAsia="Times New Roman" w:cstheme="minorHAnsi"/>
                <w:color w:val="000000"/>
                <w:sz w:val="20"/>
                <w:szCs w:val="20"/>
                <w:lang w:val="fr-FR"/>
              </w:rPr>
              <w:t>P</w:t>
            </w:r>
            <w:r w:rsidRPr="00CC1DA8">
              <w:rPr>
                <w:rFonts w:eastAsia="Times New Roman" w:cstheme="minorHAnsi"/>
                <w:color w:val="000000"/>
                <w:sz w:val="20"/>
                <w:szCs w:val="20"/>
                <w:lang w:val="fr-FR"/>
              </w:rPr>
              <w:t>rotection</w:t>
            </w:r>
            <w:r w:rsidR="004320F6" w:rsidRPr="00CC1DA8">
              <w:rPr>
                <w:rFonts w:eastAsia="Times New Roman" w:cstheme="minorHAnsi"/>
                <w:color w:val="000000"/>
                <w:sz w:val="20"/>
                <w:szCs w:val="20"/>
                <w:lang w:val="fr-FR"/>
              </w:rPr>
              <w:t xml:space="preserve"> sur la MRM sur les outils et les définitions, ce qui permet aux partenaires du secteur de l’éducation d’être sensibilisés et peuvent soutenir les rapports de MRM</w:t>
            </w:r>
            <w:r w:rsidR="00DE3A4E" w:rsidRPr="00CC1DA8">
              <w:rPr>
                <w:rFonts w:eastAsia="Times New Roman" w:cstheme="minorHAnsi"/>
                <w:color w:val="000000"/>
                <w:sz w:val="20"/>
                <w:szCs w:val="20"/>
                <w:lang w:val="fr-FR"/>
              </w:rPr>
              <w:t xml:space="preserve"> (</w:t>
            </w:r>
            <w:proofErr w:type="spellStart"/>
            <w:r w:rsidR="00DE3A4E" w:rsidRPr="00CC1DA8">
              <w:rPr>
                <w:rFonts w:eastAsia="Times New Roman" w:cstheme="minorHAnsi"/>
                <w:b/>
                <w:color w:val="000000"/>
                <w:sz w:val="20"/>
                <w:szCs w:val="20"/>
                <w:lang w:val="fr-FR"/>
              </w:rPr>
              <w:t>oPt</w:t>
            </w:r>
            <w:proofErr w:type="spellEnd"/>
            <w:r w:rsidR="00DE3A4E" w:rsidRPr="00CC1DA8">
              <w:rPr>
                <w:rFonts w:eastAsia="Times New Roman" w:cstheme="minorHAnsi"/>
                <w:b/>
                <w:color w:val="000000"/>
                <w:sz w:val="20"/>
                <w:szCs w:val="20"/>
                <w:lang w:val="fr-FR"/>
              </w:rPr>
              <w:t>)</w:t>
            </w:r>
          </w:p>
          <w:p w14:paraId="1846F88C" w14:textId="05E0C4E6" w:rsidR="009A66E3" w:rsidRPr="00CC1DA8" w:rsidRDefault="00B01A9C" w:rsidP="00B01A9C">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Les formations/renforcement des capacités des enseignants en PSS et en MRE sont généralement fournies par des partenaires sectoriels du </w:t>
            </w:r>
            <w:proofErr w:type="spellStart"/>
            <w:r w:rsidRPr="00CC1DA8">
              <w:rPr>
                <w:rFonts w:eastAsia="Times New Roman" w:cstheme="minorHAnsi"/>
                <w:color w:val="000000"/>
                <w:sz w:val="20"/>
                <w:szCs w:val="20"/>
                <w:lang w:val="fr-FR"/>
              </w:rPr>
              <w:t>CPiE</w:t>
            </w:r>
            <w:proofErr w:type="spellEnd"/>
            <w:r w:rsidRPr="00CC1DA8">
              <w:rPr>
                <w:rFonts w:eastAsia="Times New Roman" w:cstheme="minorHAnsi"/>
                <w:color w:val="000000"/>
                <w:sz w:val="20"/>
                <w:szCs w:val="20"/>
                <w:lang w:val="fr-FR"/>
              </w:rPr>
              <w:t xml:space="preserve">, en étroite collaboration avec les partenaires du secteur </w:t>
            </w:r>
            <w:r w:rsidR="0075637A" w:rsidRPr="00CC1DA8">
              <w:rPr>
                <w:rFonts w:eastAsia="Times New Roman" w:cstheme="minorHAnsi"/>
                <w:color w:val="000000"/>
                <w:sz w:val="20"/>
                <w:szCs w:val="20"/>
                <w:lang w:val="fr-FR"/>
              </w:rPr>
              <w:t xml:space="preserve">de </w:t>
            </w:r>
            <w:proofErr w:type="spellStart"/>
            <w:r w:rsidR="0075637A" w:rsidRPr="00CC1DA8">
              <w:rPr>
                <w:rFonts w:eastAsia="Times New Roman" w:cstheme="minorHAnsi"/>
                <w:color w:val="000000"/>
                <w:sz w:val="20"/>
                <w:szCs w:val="20"/>
                <w:lang w:val="fr-FR"/>
              </w:rPr>
              <w:t>l’EiE</w:t>
            </w:r>
            <w:proofErr w:type="spellEnd"/>
            <w:r w:rsidRPr="00CC1DA8">
              <w:rPr>
                <w:rFonts w:eastAsia="Times New Roman" w:cstheme="minorHAnsi"/>
                <w:color w:val="000000"/>
                <w:sz w:val="20"/>
                <w:szCs w:val="20"/>
                <w:lang w:val="fr-FR"/>
              </w:rPr>
              <w:t xml:space="preserve"> </w:t>
            </w:r>
            <w:r w:rsidR="00DE3A4E" w:rsidRPr="00CC1DA8">
              <w:rPr>
                <w:rFonts w:eastAsia="Times New Roman" w:cstheme="minorHAnsi"/>
                <w:color w:val="000000"/>
                <w:sz w:val="20"/>
                <w:szCs w:val="20"/>
                <w:lang w:val="fr-FR"/>
              </w:rPr>
              <w:t>(</w:t>
            </w:r>
            <w:r w:rsidR="00DE3A4E" w:rsidRPr="00CC1DA8">
              <w:rPr>
                <w:rFonts w:eastAsia="Times New Roman" w:cstheme="minorHAnsi"/>
                <w:b/>
                <w:color w:val="000000"/>
                <w:sz w:val="20"/>
                <w:szCs w:val="20"/>
                <w:lang w:val="fr-FR"/>
              </w:rPr>
              <w:t>Myanmar)</w:t>
            </w:r>
          </w:p>
          <w:p w14:paraId="75B9DED5" w14:textId="47CCA1A9" w:rsidR="009A66E3" w:rsidRPr="00CC1DA8" w:rsidRDefault="00B01A9C" w:rsidP="00B01A9C">
            <w:pPr>
              <w:pStyle w:val="ListParagraph"/>
              <w:numPr>
                <w:ilvl w:val="0"/>
                <w:numId w:val="21"/>
              </w:numPr>
              <w:spacing w:before="40"/>
              <w:rPr>
                <w:rFonts w:cstheme="minorHAnsi"/>
                <w:sz w:val="20"/>
                <w:szCs w:val="20"/>
                <w:lang w:val="fr-FR"/>
              </w:rPr>
            </w:pPr>
            <w:r w:rsidRPr="00CC1DA8">
              <w:rPr>
                <w:rFonts w:cstheme="minorHAnsi"/>
                <w:sz w:val="20"/>
                <w:szCs w:val="20"/>
                <w:lang w:val="fr-FR"/>
              </w:rPr>
              <w:t xml:space="preserve">En réponse à la question de VBG en milieu scolaire, les </w:t>
            </w:r>
            <w:proofErr w:type="spellStart"/>
            <w:r w:rsidRPr="00CC1DA8">
              <w:rPr>
                <w:rFonts w:cstheme="minorHAnsi"/>
                <w:sz w:val="20"/>
                <w:szCs w:val="20"/>
                <w:lang w:val="fr-FR"/>
              </w:rPr>
              <w:t>AORs</w:t>
            </w:r>
            <w:proofErr w:type="spellEnd"/>
            <w:r w:rsidRPr="00CC1DA8">
              <w:rPr>
                <w:rFonts w:cstheme="minorHAnsi"/>
                <w:sz w:val="20"/>
                <w:szCs w:val="20"/>
                <w:lang w:val="fr-FR"/>
              </w:rPr>
              <w:t xml:space="preserve"> du Cluster Protection ont participé à des réunions du Cluster Education et à des conseils contextualisés pour les écoles </w:t>
            </w:r>
            <w:r w:rsidR="00DE3A4E" w:rsidRPr="00CC1DA8">
              <w:rPr>
                <w:rFonts w:cstheme="minorHAnsi"/>
                <w:sz w:val="20"/>
                <w:szCs w:val="20"/>
                <w:lang w:val="fr-FR"/>
              </w:rPr>
              <w:t>(</w:t>
            </w:r>
            <w:r w:rsidR="00DE3A4E" w:rsidRPr="00CC1DA8">
              <w:rPr>
                <w:rFonts w:eastAsia="Times New Roman" w:cstheme="minorHAnsi"/>
                <w:b/>
                <w:color w:val="000000"/>
                <w:sz w:val="20"/>
                <w:szCs w:val="20"/>
                <w:lang w:val="fr-FR"/>
              </w:rPr>
              <w:t>Nigeria)</w:t>
            </w:r>
          </w:p>
          <w:p w14:paraId="76A6989F" w14:textId="32649678" w:rsidR="009A66E3" w:rsidRPr="00CC1DA8" w:rsidRDefault="00B01A9C" w:rsidP="00B01A9C">
            <w:pPr>
              <w:pStyle w:val="ListParagraph"/>
              <w:numPr>
                <w:ilvl w:val="0"/>
                <w:numId w:val="21"/>
              </w:numPr>
              <w:spacing w:before="40"/>
              <w:rPr>
                <w:rFonts w:cstheme="minorHAnsi"/>
                <w:sz w:val="20"/>
                <w:szCs w:val="20"/>
                <w:lang w:val="fr-FR"/>
              </w:rPr>
            </w:pPr>
            <w:r w:rsidRPr="00CC1DA8">
              <w:rPr>
                <w:rFonts w:cstheme="minorHAnsi"/>
                <w:sz w:val="20"/>
                <w:szCs w:val="20"/>
                <w:lang w:val="fr-FR"/>
              </w:rPr>
              <w:lastRenderedPageBreak/>
              <w:t>Élaboration conjointe de messages et formation des enseignants</w:t>
            </w:r>
            <w:r w:rsidR="00DE3A4E" w:rsidRPr="00CC1DA8">
              <w:rPr>
                <w:rFonts w:cstheme="minorHAnsi"/>
                <w:sz w:val="20"/>
                <w:szCs w:val="20"/>
                <w:lang w:val="fr-FR"/>
              </w:rPr>
              <w:t xml:space="preserve"> (</w:t>
            </w:r>
            <w:r w:rsidR="00DE3A4E" w:rsidRPr="00CC1DA8">
              <w:rPr>
                <w:rFonts w:eastAsia="Times New Roman" w:cstheme="minorHAnsi"/>
                <w:b/>
                <w:color w:val="000000"/>
                <w:sz w:val="20"/>
                <w:szCs w:val="20"/>
                <w:lang w:val="fr-FR"/>
              </w:rPr>
              <w:t>Nigeria)</w:t>
            </w:r>
          </w:p>
          <w:p w14:paraId="4DB4EC03" w14:textId="387A9500" w:rsidR="004E08CB" w:rsidRPr="00CC1DA8" w:rsidRDefault="00811A26" w:rsidP="00811A26">
            <w:pPr>
              <w:pStyle w:val="ListParagraph"/>
              <w:numPr>
                <w:ilvl w:val="0"/>
                <w:numId w:val="21"/>
              </w:numPr>
              <w:rPr>
                <w:rFonts w:cstheme="minorHAnsi"/>
                <w:sz w:val="20"/>
                <w:szCs w:val="20"/>
                <w:lang w:val="fr-FR"/>
              </w:rPr>
            </w:pPr>
            <w:r w:rsidRPr="00CC1DA8">
              <w:rPr>
                <w:rFonts w:cstheme="minorHAnsi"/>
                <w:sz w:val="20"/>
                <w:szCs w:val="20"/>
                <w:lang w:val="fr-FR"/>
              </w:rPr>
              <w:t>Le programme PSS  à l’usage des écoles, adopté par le Ministère de l’éducation.  Le Cluster Protection a dirigé les officiels du ministère de l’Education sur l’approche d’intégration des services de santé et de sécurité dans les salles de classe. Le Ministère de l’éducation a ensuite dirigé</w:t>
            </w:r>
            <w:r w:rsidR="00355648" w:rsidRPr="00CC1DA8">
              <w:rPr>
                <w:rFonts w:cstheme="minorHAnsi"/>
                <w:sz w:val="20"/>
                <w:szCs w:val="20"/>
                <w:lang w:val="fr-FR"/>
              </w:rPr>
              <w:t xml:space="preserve"> un</w:t>
            </w:r>
            <w:r w:rsidRPr="00CC1DA8">
              <w:rPr>
                <w:rFonts w:cstheme="minorHAnsi"/>
                <w:sz w:val="20"/>
                <w:szCs w:val="20"/>
                <w:lang w:val="fr-FR"/>
              </w:rPr>
              <w:t xml:space="preserve"> groupe de travail avec l’appui du Cluster Education pour élaborer un programme d’enseignement PSS spécifique au Mali pour les écoles primaires </w:t>
            </w:r>
            <w:r w:rsidR="00DE3A4E" w:rsidRPr="00CC1DA8">
              <w:rPr>
                <w:rFonts w:cstheme="minorHAnsi"/>
                <w:sz w:val="20"/>
                <w:szCs w:val="20"/>
                <w:lang w:val="fr-FR"/>
              </w:rPr>
              <w:t>(</w:t>
            </w:r>
            <w:r w:rsidR="00DE3A4E" w:rsidRPr="00CC1DA8">
              <w:rPr>
                <w:rFonts w:cstheme="minorHAnsi"/>
                <w:b/>
                <w:sz w:val="20"/>
                <w:szCs w:val="20"/>
                <w:lang w:val="fr-FR"/>
              </w:rPr>
              <w:t>Mali)</w:t>
            </w:r>
          </w:p>
          <w:p w14:paraId="5124C3B2" w14:textId="77777777" w:rsidR="00A54BD9" w:rsidRPr="00CC1DA8" w:rsidRDefault="00A54BD9" w:rsidP="00D51EE4">
            <w:pPr>
              <w:rPr>
                <w:rFonts w:cstheme="minorHAnsi"/>
                <w:b/>
                <w:sz w:val="20"/>
                <w:szCs w:val="20"/>
                <w:lang w:val="fr-FR"/>
              </w:rPr>
            </w:pPr>
          </w:p>
          <w:p w14:paraId="5ADF2151" w14:textId="3F738B43" w:rsidR="00A54BD9" w:rsidRPr="00CC1DA8" w:rsidRDefault="00811A26" w:rsidP="003A0DB7">
            <w:pPr>
              <w:rPr>
                <w:rFonts w:cstheme="minorHAnsi"/>
                <w:bCs/>
                <w:sz w:val="20"/>
                <w:szCs w:val="20"/>
                <w:u w:val="single"/>
                <w:lang w:val="fr-FR"/>
              </w:rPr>
            </w:pPr>
            <w:r w:rsidRPr="00CC1DA8">
              <w:rPr>
                <w:rFonts w:cstheme="minorHAnsi"/>
                <w:bCs/>
                <w:sz w:val="20"/>
                <w:szCs w:val="20"/>
                <w:u w:val="single"/>
                <w:lang w:val="fr-FR"/>
              </w:rPr>
              <w:t>M</w:t>
            </w:r>
            <w:r w:rsidR="00CE0587" w:rsidRPr="00CC1DA8">
              <w:rPr>
                <w:rFonts w:cstheme="minorHAnsi"/>
                <w:bCs/>
                <w:sz w:val="20"/>
                <w:szCs w:val="20"/>
                <w:u w:val="single"/>
                <w:lang w:val="fr-FR"/>
              </w:rPr>
              <w:t xml:space="preserve">écanismes de Redevabilité </w:t>
            </w:r>
            <w:r w:rsidRPr="00CC1DA8">
              <w:rPr>
                <w:rFonts w:cstheme="minorHAnsi"/>
                <w:bCs/>
                <w:sz w:val="20"/>
                <w:szCs w:val="20"/>
                <w:u w:val="single"/>
                <w:lang w:val="fr-FR"/>
              </w:rPr>
              <w:t>conjointe</w:t>
            </w:r>
            <w:r w:rsidR="00CE0587" w:rsidRPr="00CC1DA8">
              <w:rPr>
                <w:rFonts w:cstheme="minorHAnsi"/>
                <w:bCs/>
                <w:sz w:val="20"/>
                <w:szCs w:val="20"/>
                <w:u w:val="single"/>
                <w:lang w:val="fr-FR"/>
              </w:rPr>
              <w:t xml:space="preserve"> </w:t>
            </w:r>
          </w:p>
          <w:p w14:paraId="393CBCC1" w14:textId="69ACD348" w:rsidR="00A54BD9" w:rsidRPr="00CC1DA8" w:rsidRDefault="00CE0587" w:rsidP="00CE0587">
            <w:pPr>
              <w:pStyle w:val="ListParagraph"/>
              <w:numPr>
                <w:ilvl w:val="0"/>
                <w:numId w:val="21"/>
              </w:numPr>
              <w:spacing w:before="40"/>
              <w:rPr>
                <w:rFonts w:cstheme="minorHAnsi"/>
                <w:sz w:val="20"/>
                <w:szCs w:val="20"/>
                <w:lang w:val="fr-FR"/>
              </w:rPr>
            </w:pPr>
            <w:r w:rsidRPr="00CC1DA8">
              <w:rPr>
                <w:rFonts w:cstheme="minorHAnsi"/>
                <w:sz w:val="20"/>
                <w:szCs w:val="20"/>
                <w:lang w:val="fr-FR"/>
              </w:rPr>
              <w:t xml:space="preserve">Exemple de mécanisme de </w:t>
            </w:r>
            <w:r w:rsidR="00C0357E" w:rsidRPr="00CC1DA8">
              <w:rPr>
                <w:rFonts w:cstheme="minorHAnsi"/>
                <w:sz w:val="20"/>
                <w:szCs w:val="20"/>
                <w:lang w:val="fr-FR"/>
              </w:rPr>
              <w:t xml:space="preserve">Redevabilité envers </w:t>
            </w:r>
            <w:r w:rsidR="00BB588C" w:rsidRPr="00CC1DA8">
              <w:rPr>
                <w:rFonts w:cstheme="minorHAnsi"/>
                <w:sz w:val="20"/>
                <w:szCs w:val="20"/>
                <w:lang w:val="fr-FR"/>
              </w:rPr>
              <w:t>les Populations Touchées</w:t>
            </w:r>
            <w:r w:rsidR="00A54BD9" w:rsidRPr="00CC1DA8">
              <w:rPr>
                <w:rFonts w:eastAsia="Times New Roman" w:cstheme="minorHAnsi"/>
                <w:color w:val="000000"/>
                <w:sz w:val="20"/>
                <w:szCs w:val="20"/>
                <w:lang w:val="fr-FR"/>
              </w:rPr>
              <w:t xml:space="preserve"> (</w:t>
            </w:r>
            <w:r w:rsidRPr="00CC1DA8">
              <w:rPr>
                <w:rFonts w:eastAsia="Times New Roman" w:cstheme="minorHAnsi"/>
                <w:b/>
                <w:color w:val="000000"/>
                <w:sz w:val="20"/>
                <w:szCs w:val="20"/>
                <w:lang w:val="fr-FR"/>
              </w:rPr>
              <w:t>Somalie</w:t>
            </w:r>
            <w:r w:rsidR="00A54BD9" w:rsidRPr="00CC1DA8">
              <w:rPr>
                <w:rFonts w:eastAsia="Times New Roman" w:cstheme="minorHAnsi"/>
                <w:b/>
                <w:color w:val="000000"/>
                <w:sz w:val="20"/>
                <w:szCs w:val="20"/>
                <w:lang w:val="fr-FR"/>
              </w:rPr>
              <w:t>, Mozambique)</w:t>
            </w:r>
          </w:p>
        </w:tc>
        <w:tc>
          <w:tcPr>
            <w:tcW w:w="1842" w:type="dxa"/>
          </w:tcPr>
          <w:p w14:paraId="6FEAF3E1" w14:textId="4FE602B3" w:rsidR="00C11925" w:rsidRPr="00CC1DA8" w:rsidRDefault="00F7476A" w:rsidP="00C11925">
            <w:pPr>
              <w:spacing w:before="40" w:after="40"/>
              <w:rPr>
                <w:rFonts w:cstheme="minorHAnsi"/>
                <w:bCs/>
                <w:sz w:val="20"/>
                <w:szCs w:val="20"/>
                <w:lang w:val="fr-FR"/>
              </w:rPr>
            </w:pPr>
            <w:r w:rsidRPr="00CC1DA8">
              <w:rPr>
                <w:rFonts w:cstheme="minorHAnsi"/>
                <w:bCs/>
                <w:sz w:val="20"/>
                <w:szCs w:val="20"/>
                <w:lang w:val="fr-FR"/>
              </w:rPr>
              <w:lastRenderedPageBreak/>
              <w:t xml:space="preserve">Les partenaires doivent savoir dans quel secteur ils sont/doivent être membres pour quelle activité. </w:t>
            </w:r>
            <w:r w:rsidR="00C11925" w:rsidRPr="00CC1DA8">
              <w:rPr>
                <w:rFonts w:cstheme="minorHAnsi"/>
                <w:bCs/>
                <w:sz w:val="20"/>
                <w:szCs w:val="20"/>
                <w:lang w:val="fr-FR"/>
              </w:rPr>
              <w:t xml:space="preserve"> </w:t>
            </w:r>
          </w:p>
          <w:p w14:paraId="7E1A3772" w14:textId="77777777" w:rsidR="00C11925" w:rsidRPr="00CC1DA8" w:rsidRDefault="00C11925" w:rsidP="00C11925">
            <w:pPr>
              <w:spacing w:before="40" w:after="40"/>
              <w:rPr>
                <w:rFonts w:cstheme="minorHAnsi"/>
                <w:bCs/>
                <w:sz w:val="20"/>
                <w:szCs w:val="20"/>
                <w:lang w:val="fr-FR"/>
              </w:rPr>
            </w:pPr>
          </w:p>
          <w:p w14:paraId="46B5C936" w14:textId="2C9CD309" w:rsidR="00C11925" w:rsidRPr="00CC1DA8" w:rsidRDefault="00F7476A" w:rsidP="00C11925">
            <w:pPr>
              <w:spacing w:before="40" w:after="40"/>
              <w:rPr>
                <w:rFonts w:cstheme="minorHAnsi"/>
                <w:bCs/>
                <w:sz w:val="20"/>
                <w:szCs w:val="20"/>
                <w:u w:val="single"/>
                <w:lang w:val="fr-FR"/>
              </w:rPr>
            </w:pPr>
            <w:r w:rsidRPr="00CC1DA8">
              <w:rPr>
                <w:rFonts w:cstheme="minorHAnsi"/>
                <w:bCs/>
                <w:sz w:val="20"/>
                <w:szCs w:val="20"/>
                <w:u w:val="single"/>
                <w:lang w:val="fr-FR"/>
              </w:rPr>
              <w:t>Communiquer aux partenaires de mise en œuvre quel secteur est responsable de la réalisation de quelles activités (et donc si les partenaires doivent se joindre à l’autre secteur pour coordonner certaines activités)</w:t>
            </w:r>
          </w:p>
          <w:p w14:paraId="51241D5F" w14:textId="77777777" w:rsidR="00C11925" w:rsidRPr="00CC1DA8" w:rsidRDefault="00C11925" w:rsidP="00C11925">
            <w:pPr>
              <w:spacing w:before="40" w:after="40"/>
              <w:rPr>
                <w:rFonts w:cstheme="minorHAnsi"/>
                <w:bCs/>
                <w:sz w:val="20"/>
                <w:szCs w:val="20"/>
                <w:lang w:val="fr-FR"/>
              </w:rPr>
            </w:pPr>
          </w:p>
          <w:p w14:paraId="762C5F36" w14:textId="79F82A01" w:rsidR="00C11925" w:rsidRPr="00CC1DA8" w:rsidRDefault="00F7476A" w:rsidP="00C11925">
            <w:pPr>
              <w:spacing w:before="40" w:after="40"/>
              <w:rPr>
                <w:rFonts w:cstheme="minorHAnsi"/>
                <w:bCs/>
                <w:i/>
                <w:iCs/>
                <w:sz w:val="20"/>
                <w:szCs w:val="20"/>
                <w:lang w:val="fr-FR"/>
              </w:rPr>
            </w:pPr>
            <w:r w:rsidRPr="00CC1DA8">
              <w:rPr>
                <w:rFonts w:cstheme="minorHAnsi"/>
                <w:bCs/>
                <w:i/>
                <w:iCs/>
                <w:sz w:val="20"/>
                <w:szCs w:val="20"/>
                <w:lang w:val="fr-FR"/>
              </w:rPr>
              <w:t xml:space="preserve">p. ex. si un partenaire met en œuvre des PSS ou des MRE communautaires (coordonnés dans le </w:t>
            </w:r>
            <w:r w:rsidRPr="00CC1DA8">
              <w:rPr>
                <w:rFonts w:cstheme="minorHAnsi"/>
                <w:bCs/>
                <w:i/>
                <w:iCs/>
                <w:sz w:val="20"/>
                <w:szCs w:val="20"/>
                <w:lang w:val="fr-FR"/>
              </w:rPr>
              <w:lastRenderedPageBreak/>
              <w:t>cad</w:t>
            </w:r>
            <w:r w:rsidR="008E5CC1" w:rsidRPr="00CC1DA8">
              <w:rPr>
                <w:rFonts w:cstheme="minorHAnsi"/>
                <w:bCs/>
                <w:i/>
                <w:iCs/>
                <w:sz w:val="20"/>
                <w:szCs w:val="20"/>
                <w:lang w:val="fr-FR"/>
              </w:rPr>
              <w:t>re de la Protection des Enfants</w:t>
            </w:r>
            <w:r w:rsidRPr="00CC1DA8">
              <w:rPr>
                <w:rFonts w:cstheme="minorHAnsi"/>
                <w:bCs/>
                <w:i/>
                <w:iCs/>
                <w:sz w:val="20"/>
                <w:szCs w:val="20"/>
                <w:lang w:val="fr-FR"/>
              </w:rPr>
              <w:t xml:space="preserve">) et des PSS  ou des MRE communautaires dans les écoles </w:t>
            </w:r>
            <w:r w:rsidR="00F933C1" w:rsidRPr="00CC1DA8">
              <w:rPr>
                <w:rFonts w:cstheme="minorHAnsi"/>
                <w:bCs/>
                <w:i/>
                <w:iCs/>
                <w:sz w:val="20"/>
                <w:szCs w:val="20"/>
                <w:lang w:val="fr-FR"/>
              </w:rPr>
              <w:t>(coordonnés dans le cadre de l’E</w:t>
            </w:r>
            <w:r w:rsidRPr="00CC1DA8">
              <w:rPr>
                <w:rFonts w:cstheme="minorHAnsi"/>
                <w:bCs/>
                <w:i/>
                <w:iCs/>
                <w:sz w:val="20"/>
                <w:szCs w:val="20"/>
                <w:lang w:val="fr-FR"/>
              </w:rPr>
              <w:t xml:space="preserve">ducation), ce partenaire doit se coordonner avec un secteur pour une activité et en rendre compte à un secteur pour une activité et à l’autre secteur pour l’autre activité.            </w:t>
            </w:r>
          </w:p>
          <w:p w14:paraId="32AB6B0B" w14:textId="239B0144" w:rsidR="009A66E3" w:rsidRPr="00CC1DA8" w:rsidRDefault="009A66E3" w:rsidP="00C11925">
            <w:pPr>
              <w:spacing w:before="40" w:after="40"/>
              <w:rPr>
                <w:rFonts w:cstheme="minorHAnsi"/>
                <w:b/>
                <w:sz w:val="20"/>
                <w:szCs w:val="20"/>
                <w:lang w:val="fr-FR"/>
              </w:rPr>
            </w:pPr>
          </w:p>
        </w:tc>
        <w:tc>
          <w:tcPr>
            <w:tcW w:w="5245" w:type="dxa"/>
          </w:tcPr>
          <w:p w14:paraId="57F88707" w14:textId="5493E9D5" w:rsidR="009A66E3" w:rsidRPr="00CC1DA8" w:rsidRDefault="000779D8" w:rsidP="000779D8">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lastRenderedPageBreak/>
              <w:t>Clarté dans le cadre logique du Plan de Réponse Humanitaire</w:t>
            </w:r>
            <w:r w:rsidR="004101CB" w:rsidRPr="00CC1DA8">
              <w:rPr>
                <w:rFonts w:eastAsia="Times New Roman" w:cstheme="minorHAnsi"/>
                <w:color w:val="000000"/>
                <w:sz w:val="20"/>
                <w:szCs w:val="20"/>
                <w:lang w:val="fr-FR"/>
              </w:rPr>
              <w:t xml:space="preserve"> / I</w:t>
            </w:r>
            <w:r w:rsidRPr="00CC1DA8">
              <w:rPr>
                <w:rFonts w:eastAsia="Times New Roman" w:cstheme="minorHAnsi"/>
                <w:color w:val="000000"/>
                <w:sz w:val="20"/>
                <w:szCs w:val="20"/>
                <w:lang w:val="fr-FR"/>
              </w:rPr>
              <w:t>nstructions</w:t>
            </w:r>
            <w:r w:rsidR="004101CB" w:rsidRPr="00CC1DA8">
              <w:rPr>
                <w:rFonts w:eastAsia="Times New Roman" w:cstheme="minorHAnsi"/>
                <w:color w:val="000000"/>
                <w:sz w:val="20"/>
                <w:szCs w:val="20"/>
                <w:lang w:val="fr-FR"/>
              </w:rPr>
              <w:t xml:space="preserve"> du 4W</w:t>
            </w:r>
            <w:r w:rsidRPr="00CC1DA8">
              <w:rPr>
                <w:rFonts w:eastAsia="Times New Roman" w:cstheme="minorHAnsi"/>
                <w:color w:val="000000"/>
                <w:sz w:val="20"/>
                <w:szCs w:val="20"/>
                <w:lang w:val="fr-FR"/>
              </w:rPr>
              <w:t xml:space="preserve"> sur la façon de rapporter, par exemple:   </w:t>
            </w:r>
          </w:p>
          <w:p w14:paraId="7460F427" w14:textId="601AB95B" w:rsidR="009A66E3" w:rsidRPr="00CC1DA8" w:rsidRDefault="000779D8" w:rsidP="000779D8">
            <w:pPr>
              <w:pStyle w:val="ListParagraph"/>
              <w:numPr>
                <w:ilvl w:val="1"/>
                <w:numId w:val="21"/>
              </w:numPr>
              <w:spacing w:before="80" w:after="80"/>
              <w:rPr>
                <w:rFonts w:cstheme="minorHAnsi"/>
                <w:sz w:val="20"/>
                <w:szCs w:val="20"/>
                <w:lang w:val="fr-FR"/>
              </w:rPr>
            </w:pPr>
            <w:r w:rsidRPr="00CC1DA8">
              <w:rPr>
                <w:rFonts w:eastAsia="Times New Roman" w:cstheme="minorHAnsi"/>
                <w:color w:val="000000"/>
                <w:sz w:val="20"/>
                <w:szCs w:val="20"/>
                <w:lang w:val="fr-FR"/>
              </w:rPr>
              <w:t xml:space="preserve">un indicateur du Cluster Protection qui est suivi par le Cluster Education (spécifié dans le Plan de Réponse Humanitaire): « nombre d’enseignants formés sur </w:t>
            </w:r>
            <w:r w:rsidR="009A6819" w:rsidRPr="00CC1DA8">
              <w:rPr>
                <w:rFonts w:eastAsia="Times New Roman" w:cstheme="minorHAnsi"/>
                <w:color w:val="000000"/>
                <w:sz w:val="20"/>
                <w:szCs w:val="20"/>
                <w:lang w:val="fr-FR"/>
              </w:rPr>
              <w:t xml:space="preserve">le </w:t>
            </w:r>
            <w:r w:rsidRPr="00CC1DA8">
              <w:rPr>
                <w:rFonts w:eastAsia="Times New Roman" w:cstheme="minorHAnsi"/>
                <w:color w:val="000000"/>
                <w:sz w:val="20"/>
                <w:szCs w:val="20"/>
                <w:lang w:val="fr-FR"/>
              </w:rPr>
              <w:t>PSS ». Les partenaires du Cluster Education assurent la liaison avec le Cluster Protection pour organiser les formations et sont responsables de rapporter les enseignants formés dans leurs écoles</w:t>
            </w:r>
            <w:r w:rsidR="009A66E3" w:rsidRPr="00CC1DA8">
              <w:rPr>
                <w:rFonts w:cstheme="minorHAnsi"/>
                <w:sz w:val="20"/>
                <w:szCs w:val="20"/>
                <w:lang w:val="fr-FR"/>
              </w:rPr>
              <w:t xml:space="preserve"> (</w:t>
            </w:r>
            <w:r w:rsidR="009A66E3" w:rsidRPr="00CC1DA8">
              <w:rPr>
                <w:rFonts w:cstheme="minorHAnsi"/>
                <w:b/>
                <w:sz w:val="20"/>
                <w:szCs w:val="20"/>
                <w:lang w:val="fr-FR"/>
              </w:rPr>
              <w:t xml:space="preserve">South </w:t>
            </w:r>
            <w:proofErr w:type="spellStart"/>
            <w:r w:rsidR="009A66E3" w:rsidRPr="00CC1DA8">
              <w:rPr>
                <w:rFonts w:cstheme="minorHAnsi"/>
                <w:b/>
                <w:sz w:val="20"/>
                <w:szCs w:val="20"/>
                <w:lang w:val="fr-FR"/>
              </w:rPr>
              <w:t>Sudan</w:t>
            </w:r>
            <w:proofErr w:type="spellEnd"/>
            <w:r w:rsidR="009A66E3" w:rsidRPr="00CC1DA8">
              <w:rPr>
                <w:rFonts w:cstheme="minorHAnsi"/>
                <w:b/>
                <w:sz w:val="20"/>
                <w:szCs w:val="20"/>
                <w:lang w:val="fr-FR"/>
              </w:rPr>
              <w:t>)</w:t>
            </w:r>
            <w:r w:rsidR="009A66E3" w:rsidRPr="00CC1DA8">
              <w:rPr>
                <w:rFonts w:cstheme="minorHAnsi"/>
                <w:sz w:val="20"/>
                <w:szCs w:val="20"/>
                <w:lang w:val="fr-FR"/>
              </w:rPr>
              <w:t xml:space="preserve"> </w:t>
            </w:r>
          </w:p>
          <w:p w14:paraId="4683697D" w14:textId="5429C4E8" w:rsidR="009A66E3" w:rsidRPr="00CC1DA8" w:rsidRDefault="00DD6917" w:rsidP="00DD6917">
            <w:pPr>
              <w:pStyle w:val="ListParagraph"/>
              <w:numPr>
                <w:ilvl w:val="1"/>
                <w:numId w:val="21"/>
              </w:numPr>
              <w:spacing w:before="80" w:after="80"/>
              <w:rPr>
                <w:rFonts w:cstheme="minorHAnsi"/>
                <w:sz w:val="20"/>
                <w:szCs w:val="20"/>
                <w:lang w:val="fr-FR"/>
              </w:rPr>
            </w:pPr>
            <w:r w:rsidRPr="00CC1DA8">
              <w:rPr>
                <w:rFonts w:cstheme="minorHAnsi"/>
                <w:sz w:val="20"/>
                <w:szCs w:val="20"/>
                <w:lang w:val="fr-FR"/>
              </w:rPr>
              <w:t>Toute intervention en milieu scolaire devrait être coordonnée par le Cluster Education et faire l’objet de rapports à ce niveau, comme le stipule le Plan de Réponse Humanitaire.</w:t>
            </w:r>
            <w:r w:rsidR="009A66E3" w:rsidRPr="00CC1DA8">
              <w:rPr>
                <w:rFonts w:cstheme="minorHAnsi"/>
                <w:sz w:val="20"/>
                <w:szCs w:val="20"/>
                <w:lang w:val="fr-FR"/>
              </w:rPr>
              <w:t xml:space="preserve"> (</w:t>
            </w:r>
            <w:proofErr w:type="spellStart"/>
            <w:r w:rsidR="009A66E3" w:rsidRPr="00CC1DA8">
              <w:rPr>
                <w:rFonts w:cstheme="minorHAnsi"/>
                <w:b/>
                <w:sz w:val="20"/>
                <w:szCs w:val="20"/>
                <w:lang w:val="fr-FR"/>
              </w:rPr>
              <w:t>oPt</w:t>
            </w:r>
            <w:proofErr w:type="spellEnd"/>
            <w:r w:rsidR="009A66E3" w:rsidRPr="00CC1DA8">
              <w:rPr>
                <w:rFonts w:cstheme="minorHAnsi"/>
                <w:b/>
                <w:sz w:val="20"/>
                <w:szCs w:val="20"/>
                <w:lang w:val="fr-FR"/>
              </w:rPr>
              <w:t xml:space="preserve"> –</w:t>
            </w:r>
            <w:r w:rsidRPr="00CC1DA8">
              <w:rPr>
                <w:rFonts w:cstheme="minorHAnsi"/>
                <w:b/>
                <w:sz w:val="20"/>
                <w:szCs w:val="20"/>
                <w:lang w:val="fr-FR"/>
              </w:rPr>
              <w:t xml:space="preserve"> </w:t>
            </w:r>
            <w:r w:rsidRPr="00CC1DA8">
              <w:rPr>
                <w:rFonts w:cstheme="minorHAnsi"/>
                <w:sz w:val="20"/>
                <w:szCs w:val="20"/>
                <w:lang w:val="fr-FR"/>
              </w:rPr>
              <w:t>Instructions pour les interventions en milieu scolaire</w:t>
            </w:r>
            <w:r w:rsidR="009A66E3" w:rsidRPr="00CC1DA8">
              <w:rPr>
                <w:rFonts w:cstheme="minorHAnsi"/>
                <w:sz w:val="20"/>
                <w:szCs w:val="20"/>
                <w:lang w:val="fr-FR"/>
              </w:rPr>
              <w:t>)</w:t>
            </w:r>
          </w:p>
          <w:p w14:paraId="37CEE59D" w14:textId="570BF08E" w:rsidR="009A66E3" w:rsidRPr="00CC1DA8" w:rsidRDefault="00DD6917" w:rsidP="00DD6917">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 xml:space="preserve">Plan commun de suivi et d’évaluation; </w:t>
            </w:r>
            <w:r w:rsidR="009A66E3" w:rsidRPr="00CC1DA8">
              <w:rPr>
                <w:rFonts w:eastAsia="Times New Roman" w:cstheme="minorHAnsi"/>
                <w:color w:val="000000"/>
                <w:sz w:val="20"/>
                <w:szCs w:val="20"/>
                <w:lang w:val="fr-FR"/>
              </w:rPr>
              <w:t>(</w:t>
            </w:r>
            <w:r w:rsidR="009A66E3" w:rsidRPr="00CC1DA8">
              <w:rPr>
                <w:rFonts w:eastAsia="Times New Roman" w:cstheme="minorHAnsi"/>
                <w:b/>
                <w:color w:val="000000"/>
                <w:sz w:val="20"/>
                <w:szCs w:val="20"/>
                <w:lang w:val="fr-FR"/>
              </w:rPr>
              <w:t xml:space="preserve">DRC – </w:t>
            </w:r>
            <w:r w:rsidR="009A66E3" w:rsidRPr="00CC1DA8">
              <w:rPr>
                <w:rFonts w:eastAsia="Times New Roman" w:cstheme="minorHAnsi"/>
                <w:color w:val="000000"/>
                <w:sz w:val="20"/>
                <w:szCs w:val="20"/>
                <w:lang w:val="fr-FR"/>
              </w:rPr>
              <w:t>Kasaï)</w:t>
            </w:r>
          </w:p>
          <w:p w14:paraId="1E919E21" w14:textId="12DC75C2" w:rsidR="009A66E3" w:rsidRPr="00CC1DA8" w:rsidRDefault="00DD6917" w:rsidP="00DD6917">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u w:val="single"/>
                <w:lang w:val="fr-FR"/>
              </w:rPr>
              <w:t>Visites de suivi conjointes avec les partenaires, les bénéficiaires (et éventuellement les ministères des tutelles</w:t>
            </w:r>
            <w:r w:rsidR="009A6819" w:rsidRPr="00CC1DA8">
              <w:rPr>
                <w:rFonts w:eastAsia="Times New Roman" w:cstheme="minorHAnsi"/>
                <w:color w:val="000000"/>
                <w:sz w:val="20"/>
                <w:szCs w:val="20"/>
                <w:u w:val="single"/>
                <w:lang w:val="fr-FR"/>
              </w:rPr>
              <w:t>)</w:t>
            </w:r>
            <w:r w:rsidR="009A66E3" w:rsidRPr="00CC1DA8">
              <w:rPr>
                <w:rFonts w:eastAsia="Times New Roman" w:cstheme="minorHAnsi"/>
                <w:color w:val="000000"/>
                <w:sz w:val="20"/>
                <w:szCs w:val="20"/>
                <w:lang w:val="fr-FR"/>
              </w:rPr>
              <w:t xml:space="preserve"> (</w:t>
            </w:r>
            <w:proofErr w:type="spellStart"/>
            <w:r w:rsidR="009A66E3" w:rsidRPr="00CC1DA8">
              <w:rPr>
                <w:rFonts w:eastAsia="Times New Roman" w:cstheme="minorHAnsi"/>
                <w:b/>
                <w:color w:val="000000"/>
                <w:sz w:val="20"/>
                <w:szCs w:val="20"/>
                <w:lang w:val="fr-FR"/>
              </w:rPr>
              <w:t>oPt</w:t>
            </w:r>
            <w:proofErr w:type="spellEnd"/>
            <w:r w:rsidR="009A66E3" w:rsidRPr="00CC1DA8">
              <w:rPr>
                <w:rFonts w:eastAsia="Times New Roman" w:cstheme="minorHAnsi"/>
                <w:b/>
                <w:color w:val="000000"/>
                <w:sz w:val="20"/>
                <w:szCs w:val="20"/>
                <w:lang w:val="fr-FR"/>
              </w:rPr>
              <w:t xml:space="preserve"> - </w:t>
            </w:r>
            <w:r w:rsidRPr="00CC1DA8">
              <w:rPr>
                <w:rFonts w:eastAsia="Times New Roman" w:cstheme="minorHAnsi"/>
                <w:color w:val="000000"/>
                <w:sz w:val="20"/>
                <w:szCs w:val="20"/>
                <w:lang w:val="fr-FR"/>
              </w:rPr>
              <w:t>Zone H2</w:t>
            </w:r>
            <w:r w:rsidR="009A66E3" w:rsidRPr="00CC1DA8">
              <w:rPr>
                <w:rFonts w:cstheme="minorHAnsi"/>
                <w:sz w:val="20"/>
                <w:szCs w:val="20"/>
                <w:lang w:val="fr-FR"/>
              </w:rPr>
              <w:t>)</w:t>
            </w:r>
          </w:p>
          <w:p w14:paraId="5DAD3F5C" w14:textId="490A215C" w:rsidR="009A66E3" w:rsidRPr="00CC1DA8" w:rsidRDefault="00DD6917" w:rsidP="00D51EE4">
            <w:pPr>
              <w:rPr>
                <w:rFonts w:eastAsia="Times New Roman" w:cstheme="minorHAnsi"/>
                <w:color w:val="000000"/>
                <w:sz w:val="20"/>
                <w:szCs w:val="20"/>
                <w:lang w:val="fr-FR"/>
              </w:rPr>
            </w:pPr>
            <w:r w:rsidRPr="00CC1DA8">
              <w:rPr>
                <w:rFonts w:eastAsia="Times New Roman" w:cstheme="minorHAnsi"/>
                <w:color w:val="000000"/>
                <w:sz w:val="20"/>
                <w:szCs w:val="20"/>
                <w:lang w:val="fr-FR"/>
              </w:rPr>
              <w:t xml:space="preserve">Directives en matière d’établissement de rapports pour les indicateurs intersectoriels afin de préciser à quel secteur les partenaires d’exécution devraient faire rapport, d’assurer l’exactitude des rapports et de réduire les doubles comptages </w:t>
            </w:r>
            <w:r w:rsidR="009A66E3" w:rsidRPr="00CC1DA8">
              <w:rPr>
                <w:rFonts w:eastAsia="Times New Roman" w:cstheme="minorHAnsi"/>
                <w:color w:val="000000"/>
                <w:sz w:val="20"/>
                <w:szCs w:val="20"/>
                <w:lang w:val="fr-FR"/>
              </w:rPr>
              <w:t xml:space="preserve"> </w:t>
            </w:r>
          </w:p>
          <w:p w14:paraId="4588FD51" w14:textId="77777777" w:rsidR="00DD6917" w:rsidRPr="00CC1DA8" w:rsidRDefault="00DD6917" w:rsidP="00D51EE4">
            <w:pPr>
              <w:rPr>
                <w:rFonts w:cstheme="minorHAnsi"/>
                <w:sz w:val="20"/>
                <w:szCs w:val="20"/>
                <w:u w:val="single"/>
                <w:lang w:val="fr-FR"/>
              </w:rPr>
            </w:pPr>
          </w:p>
          <w:p w14:paraId="5E76F9E3" w14:textId="76ACDA25" w:rsidR="009A66E3" w:rsidRPr="00CC1DA8" w:rsidRDefault="00531B5B" w:rsidP="00531B5B">
            <w:pPr>
              <w:pStyle w:val="ListParagraph"/>
              <w:numPr>
                <w:ilvl w:val="0"/>
                <w:numId w:val="21"/>
              </w:numPr>
              <w:spacing w:before="40"/>
              <w:rPr>
                <w:rFonts w:cstheme="minorHAnsi"/>
                <w:sz w:val="20"/>
                <w:szCs w:val="20"/>
                <w:lang w:val="fr-FR"/>
              </w:rPr>
            </w:pPr>
            <w:r w:rsidRPr="00CC1DA8">
              <w:rPr>
                <w:rFonts w:eastAsia="Times New Roman" w:cstheme="minorHAnsi"/>
                <w:color w:val="000000"/>
                <w:sz w:val="20"/>
                <w:szCs w:val="20"/>
                <w:lang w:val="fr-FR"/>
              </w:rPr>
              <w:t>À quel secteur faire le rapport, par exemple :</w:t>
            </w:r>
          </w:p>
          <w:p w14:paraId="155D5841" w14:textId="2A3FAA57" w:rsidR="009A66E3" w:rsidRPr="00CC1DA8" w:rsidRDefault="00531B5B" w:rsidP="00531B5B">
            <w:pPr>
              <w:pStyle w:val="ListParagraph"/>
              <w:numPr>
                <w:ilvl w:val="1"/>
                <w:numId w:val="21"/>
              </w:numPr>
              <w:spacing w:before="80" w:after="80"/>
              <w:rPr>
                <w:rFonts w:cstheme="minorHAnsi"/>
                <w:b/>
                <w:sz w:val="20"/>
                <w:szCs w:val="20"/>
                <w:lang w:val="en-GB"/>
              </w:rPr>
            </w:pPr>
            <w:r w:rsidRPr="00CC1DA8">
              <w:rPr>
                <w:rFonts w:cstheme="minorHAnsi"/>
                <w:b/>
                <w:bCs/>
                <w:sz w:val="20"/>
                <w:szCs w:val="20"/>
                <w:lang w:val="en-GB"/>
              </w:rPr>
              <w:lastRenderedPageBreak/>
              <w:t xml:space="preserve">Par </w:t>
            </w:r>
            <w:proofErr w:type="spellStart"/>
            <w:r w:rsidRPr="00CC1DA8">
              <w:rPr>
                <w:rFonts w:cstheme="minorHAnsi"/>
                <w:b/>
                <w:bCs/>
                <w:sz w:val="20"/>
                <w:szCs w:val="20"/>
                <w:lang w:val="en-GB"/>
              </w:rPr>
              <w:t>activité</w:t>
            </w:r>
            <w:proofErr w:type="spellEnd"/>
          </w:p>
          <w:p w14:paraId="390F6079" w14:textId="25183370" w:rsidR="009A66E3" w:rsidRPr="00CC1DA8" w:rsidRDefault="00531B5B" w:rsidP="00531B5B">
            <w:pPr>
              <w:pStyle w:val="ListParagraph"/>
              <w:numPr>
                <w:ilvl w:val="1"/>
                <w:numId w:val="21"/>
              </w:numPr>
              <w:spacing w:before="80" w:after="80"/>
              <w:rPr>
                <w:rFonts w:cstheme="minorHAnsi"/>
                <w:b/>
                <w:sz w:val="20"/>
                <w:szCs w:val="20"/>
                <w:lang w:val="fr-FR"/>
              </w:rPr>
            </w:pPr>
            <w:r w:rsidRPr="00CC1DA8">
              <w:rPr>
                <w:rFonts w:eastAsia="Times New Roman" w:cstheme="minorHAnsi"/>
                <w:b/>
                <w:color w:val="000000"/>
                <w:sz w:val="20"/>
                <w:szCs w:val="20"/>
                <w:lang w:val="fr-FR"/>
              </w:rPr>
              <w:t xml:space="preserve">Selon l’âge </w:t>
            </w:r>
            <w:r w:rsidRPr="00CC1DA8">
              <w:rPr>
                <w:rFonts w:eastAsia="Times New Roman" w:cstheme="minorHAnsi"/>
                <w:color w:val="000000"/>
                <w:sz w:val="20"/>
                <w:szCs w:val="20"/>
                <w:lang w:val="fr-FR"/>
              </w:rPr>
              <w:t>(p. ex. 15-18 ans au Cluster Protection, 3-14 ans au Cluster Education pour les activités du MHPSS dans des espaces polyvalents</w:t>
            </w:r>
            <w:r w:rsidRPr="00CC1DA8">
              <w:rPr>
                <w:rFonts w:eastAsia="Times New Roman" w:cstheme="minorHAnsi"/>
                <w:b/>
                <w:color w:val="000000"/>
                <w:sz w:val="20"/>
                <w:szCs w:val="20"/>
                <w:lang w:val="fr-FR"/>
              </w:rPr>
              <w:t xml:space="preserve"> –</w:t>
            </w:r>
            <w:proofErr w:type="spellStart"/>
            <w:r w:rsidR="003A0DB7" w:rsidRPr="00CC1DA8">
              <w:rPr>
                <w:rFonts w:eastAsia="Calibri" w:cstheme="minorHAnsi"/>
                <w:b/>
                <w:bCs/>
                <w:sz w:val="20"/>
                <w:szCs w:val="20"/>
                <w:lang w:val="fr-FR"/>
              </w:rPr>
              <w:t>Cox’s</w:t>
            </w:r>
            <w:proofErr w:type="spellEnd"/>
            <w:r w:rsidR="003A0DB7" w:rsidRPr="00CC1DA8">
              <w:rPr>
                <w:rFonts w:eastAsia="Calibri" w:cstheme="minorHAnsi"/>
                <w:b/>
                <w:bCs/>
                <w:sz w:val="20"/>
                <w:szCs w:val="20"/>
                <w:lang w:val="fr-FR"/>
              </w:rPr>
              <w:t xml:space="preserve"> </w:t>
            </w:r>
            <w:proofErr w:type="spellStart"/>
            <w:r w:rsidR="003A0DB7" w:rsidRPr="00CC1DA8">
              <w:rPr>
                <w:rFonts w:eastAsia="Calibri" w:cstheme="minorHAnsi"/>
                <w:b/>
                <w:bCs/>
                <w:sz w:val="20"/>
                <w:szCs w:val="20"/>
                <w:lang w:val="fr-FR"/>
              </w:rPr>
              <w:t>Bazaar</w:t>
            </w:r>
            <w:proofErr w:type="spellEnd"/>
            <w:r w:rsidR="009A66E3" w:rsidRPr="00CC1DA8">
              <w:rPr>
                <w:rFonts w:eastAsia="Times New Roman" w:cstheme="minorHAnsi"/>
                <w:color w:val="000000"/>
                <w:sz w:val="20"/>
                <w:szCs w:val="20"/>
                <w:lang w:val="fr-FR"/>
              </w:rPr>
              <w:t>)</w:t>
            </w:r>
          </w:p>
          <w:p w14:paraId="1DF4D7E7" w14:textId="1C93D53E" w:rsidR="009A66E3" w:rsidRPr="00CC1DA8" w:rsidRDefault="00531B5B" w:rsidP="00531B5B">
            <w:pPr>
              <w:pStyle w:val="ListParagraph"/>
              <w:numPr>
                <w:ilvl w:val="1"/>
                <w:numId w:val="21"/>
              </w:numPr>
              <w:spacing w:before="80" w:after="80"/>
              <w:rPr>
                <w:rFonts w:cstheme="minorHAnsi"/>
                <w:sz w:val="20"/>
                <w:szCs w:val="20"/>
                <w:lang w:val="en-GB"/>
              </w:rPr>
            </w:pPr>
            <w:r w:rsidRPr="00CC1DA8">
              <w:rPr>
                <w:rFonts w:eastAsia="Times New Roman" w:cstheme="minorHAnsi"/>
                <w:b/>
                <w:color w:val="000000"/>
                <w:sz w:val="20"/>
                <w:szCs w:val="20"/>
                <w:lang w:val="en-GB"/>
              </w:rPr>
              <w:t xml:space="preserve">Par emplacement </w:t>
            </w:r>
            <w:r w:rsidR="009A66E3" w:rsidRPr="00CC1DA8">
              <w:rPr>
                <w:rFonts w:eastAsia="Times New Roman" w:cstheme="minorHAnsi"/>
                <w:color w:val="000000"/>
                <w:sz w:val="20"/>
                <w:szCs w:val="20"/>
                <w:lang w:val="en-GB"/>
              </w:rPr>
              <w:t>:</w:t>
            </w:r>
          </w:p>
          <w:p w14:paraId="550B7981" w14:textId="28E6486C" w:rsidR="009A66E3" w:rsidRPr="00CC1DA8" w:rsidRDefault="009A66E3" w:rsidP="009A66E3">
            <w:pPr>
              <w:pStyle w:val="ListParagraph"/>
              <w:spacing w:before="80" w:after="80"/>
              <w:ind w:left="1105"/>
              <w:rPr>
                <w:rFonts w:eastAsia="Times New Roman" w:cstheme="minorHAnsi"/>
                <w:b/>
                <w:color w:val="000000"/>
                <w:sz w:val="20"/>
                <w:szCs w:val="20"/>
                <w:lang w:val="fr-FR"/>
              </w:rPr>
            </w:pPr>
            <w:r w:rsidRPr="00CC1DA8">
              <w:rPr>
                <w:rFonts w:eastAsia="Times New Roman" w:cstheme="minorHAnsi"/>
                <w:color w:val="000000"/>
                <w:sz w:val="20"/>
                <w:szCs w:val="20"/>
                <w:lang w:val="fr-FR"/>
              </w:rPr>
              <w:t xml:space="preserve">- </w:t>
            </w:r>
            <w:r w:rsidR="00531B5B" w:rsidRPr="00CC1DA8">
              <w:rPr>
                <w:rFonts w:eastAsia="Times New Roman" w:cstheme="minorHAnsi"/>
                <w:color w:val="000000"/>
                <w:sz w:val="20"/>
                <w:szCs w:val="20"/>
                <w:lang w:val="fr-FR"/>
              </w:rPr>
              <w:t xml:space="preserve">Basé sur l’école (au Cluster Education) par rapport à la communauté (au Cluster Protection) </w:t>
            </w:r>
            <w:r w:rsidRPr="00CC1DA8">
              <w:rPr>
                <w:rFonts w:eastAsia="Times New Roman" w:cstheme="minorHAnsi"/>
                <w:color w:val="000000"/>
                <w:sz w:val="20"/>
                <w:szCs w:val="20"/>
                <w:lang w:val="fr-FR"/>
              </w:rPr>
              <w:t>(</w:t>
            </w:r>
            <w:r w:rsidRPr="00CC1DA8">
              <w:rPr>
                <w:rFonts w:eastAsia="Times New Roman" w:cstheme="minorHAnsi"/>
                <w:b/>
                <w:color w:val="000000"/>
                <w:sz w:val="20"/>
                <w:szCs w:val="20"/>
                <w:lang w:val="fr-FR"/>
              </w:rPr>
              <w:t>Iraq)</w:t>
            </w:r>
          </w:p>
          <w:p w14:paraId="344139BB" w14:textId="4070B125" w:rsidR="009A66E3" w:rsidRPr="00CC1DA8" w:rsidRDefault="00531B5B" w:rsidP="009A66E3">
            <w:pPr>
              <w:pStyle w:val="ListParagraph"/>
              <w:spacing w:before="80" w:after="80"/>
              <w:ind w:left="1105"/>
              <w:rPr>
                <w:rFonts w:eastAsia="Times New Roman" w:cstheme="minorHAnsi"/>
                <w:color w:val="000000"/>
                <w:sz w:val="20"/>
                <w:szCs w:val="20"/>
                <w:lang w:val="fr-FR"/>
              </w:rPr>
            </w:pPr>
            <w:r w:rsidRPr="00CC1DA8">
              <w:rPr>
                <w:rFonts w:eastAsia="Times New Roman" w:cstheme="minorHAnsi"/>
                <w:color w:val="000000"/>
                <w:sz w:val="20"/>
                <w:szCs w:val="20"/>
                <w:lang w:val="fr-FR"/>
              </w:rPr>
              <w:t xml:space="preserve">- Note d’orientation sur l’espace polyvalent et conversations de suivi avec les principaux partenaires intersectoriels afin de clarifier les liens hiérarchiques - </w:t>
            </w:r>
            <w:r w:rsidR="009A66E3" w:rsidRPr="00CC1DA8">
              <w:rPr>
                <w:rFonts w:eastAsia="Times New Roman" w:cstheme="minorHAnsi"/>
                <w:color w:val="000000"/>
                <w:sz w:val="20"/>
                <w:szCs w:val="20"/>
                <w:lang w:val="fr-FR"/>
              </w:rPr>
              <w:t>(</w:t>
            </w:r>
            <w:proofErr w:type="spellStart"/>
            <w:r w:rsidR="003A0DB7" w:rsidRPr="00CC1DA8">
              <w:rPr>
                <w:rFonts w:eastAsia="Calibri" w:cstheme="minorHAnsi"/>
                <w:b/>
                <w:bCs/>
                <w:sz w:val="20"/>
                <w:szCs w:val="20"/>
                <w:lang w:val="fr-FR"/>
              </w:rPr>
              <w:t>Cox’s</w:t>
            </w:r>
            <w:proofErr w:type="spellEnd"/>
            <w:r w:rsidR="003A0DB7" w:rsidRPr="00CC1DA8">
              <w:rPr>
                <w:rFonts w:eastAsia="Calibri" w:cstheme="minorHAnsi"/>
                <w:b/>
                <w:bCs/>
                <w:sz w:val="20"/>
                <w:szCs w:val="20"/>
                <w:lang w:val="fr-FR"/>
              </w:rPr>
              <w:t xml:space="preserve"> </w:t>
            </w:r>
            <w:proofErr w:type="spellStart"/>
            <w:r w:rsidR="003A0DB7" w:rsidRPr="00CC1DA8">
              <w:rPr>
                <w:rFonts w:eastAsia="Calibri" w:cstheme="minorHAnsi"/>
                <w:b/>
                <w:bCs/>
                <w:sz w:val="20"/>
                <w:szCs w:val="20"/>
                <w:lang w:val="fr-FR"/>
              </w:rPr>
              <w:t>Bazaar</w:t>
            </w:r>
            <w:proofErr w:type="spellEnd"/>
            <w:r w:rsidR="009A66E3" w:rsidRPr="00CC1DA8">
              <w:rPr>
                <w:rFonts w:eastAsia="Times New Roman" w:cstheme="minorHAnsi"/>
                <w:color w:val="000000"/>
                <w:sz w:val="20"/>
                <w:szCs w:val="20"/>
                <w:lang w:val="fr-FR"/>
              </w:rPr>
              <w:t>)</w:t>
            </w:r>
          </w:p>
          <w:p w14:paraId="45509C0A" w14:textId="625EF9D1" w:rsidR="009A66E3" w:rsidRPr="00CC1DA8" w:rsidRDefault="00531B5B" w:rsidP="009A66E3">
            <w:pPr>
              <w:pStyle w:val="ListParagraph"/>
              <w:spacing w:before="80" w:after="80"/>
              <w:ind w:left="1105"/>
              <w:rPr>
                <w:rFonts w:eastAsia="Times New Roman" w:cstheme="minorHAnsi"/>
                <w:b/>
                <w:color w:val="000000"/>
                <w:sz w:val="20"/>
                <w:szCs w:val="20"/>
                <w:lang w:val="fr-FR"/>
              </w:rPr>
            </w:pPr>
            <w:r w:rsidRPr="00CC1DA8">
              <w:rPr>
                <w:rFonts w:eastAsia="Times New Roman" w:cstheme="minorHAnsi"/>
                <w:color w:val="000000"/>
                <w:sz w:val="20"/>
                <w:szCs w:val="20"/>
                <w:lang w:val="fr-FR"/>
              </w:rPr>
              <w:t>- Note d’orientation sur la programmation intégrée de l’EiE/</w:t>
            </w:r>
            <w:proofErr w:type="spellStart"/>
            <w:r w:rsidRPr="00CC1DA8">
              <w:rPr>
                <w:rFonts w:eastAsia="Times New Roman" w:cstheme="minorHAnsi"/>
                <w:color w:val="000000"/>
                <w:sz w:val="20"/>
                <w:szCs w:val="20"/>
                <w:lang w:val="fr-FR"/>
              </w:rPr>
              <w:t>CPiE</w:t>
            </w:r>
            <w:proofErr w:type="spellEnd"/>
            <w:r w:rsidRPr="00CC1DA8">
              <w:rPr>
                <w:rFonts w:eastAsia="Times New Roman" w:cstheme="minorHAnsi"/>
                <w:color w:val="000000"/>
                <w:sz w:val="20"/>
                <w:szCs w:val="20"/>
                <w:lang w:val="fr-FR"/>
              </w:rPr>
              <w:t xml:space="preserve"> pour le SCF/TLS - guider les partenaires sur le se</w:t>
            </w:r>
            <w:r w:rsidR="00BF7B88" w:rsidRPr="00CC1DA8">
              <w:rPr>
                <w:rFonts w:eastAsia="Times New Roman" w:cstheme="minorHAnsi"/>
                <w:color w:val="000000"/>
                <w:sz w:val="20"/>
                <w:szCs w:val="20"/>
                <w:lang w:val="fr-FR"/>
              </w:rPr>
              <w:t xml:space="preserve">cteur auquel faire rapport </w:t>
            </w:r>
            <w:r w:rsidRPr="00CC1DA8">
              <w:rPr>
                <w:rFonts w:eastAsia="Times New Roman" w:cstheme="minorHAnsi"/>
                <w:color w:val="000000"/>
                <w:sz w:val="20"/>
                <w:szCs w:val="20"/>
                <w:lang w:val="fr-FR"/>
              </w:rPr>
              <w:t>des activités intersectorielles</w:t>
            </w:r>
            <w:r w:rsidR="009A66E3" w:rsidRPr="00CC1DA8">
              <w:rPr>
                <w:rFonts w:eastAsia="Times New Roman" w:cstheme="minorHAnsi"/>
                <w:color w:val="000000"/>
                <w:sz w:val="20"/>
                <w:szCs w:val="20"/>
                <w:lang w:val="fr-FR"/>
              </w:rPr>
              <w:t xml:space="preserve"> </w:t>
            </w:r>
            <w:r w:rsidR="009A66E3" w:rsidRPr="00CC1DA8">
              <w:rPr>
                <w:rFonts w:eastAsia="Times New Roman" w:cstheme="minorHAnsi"/>
                <w:b/>
                <w:color w:val="000000"/>
                <w:sz w:val="20"/>
                <w:szCs w:val="20"/>
                <w:lang w:val="fr-FR"/>
              </w:rPr>
              <w:t>(Iraq)</w:t>
            </w:r>
          </w:p>
          <w:p w14:paraId="1ED1CDB2" w14:textId="31BFDA55" w:rsidR="00BF7B88" w:rsidRPr="00CC1DA8" w:rsidRDefault="00BF7B88" w:rsidP="00BF7B88">
            <w:pPr>
              <w:pStyle w:val="ListParagraph"/>
              <w:numPr>
                <w:ilvl w:val="0"/>
                <w:numId w:val="25"/>
              </w:numPr>
              <w:spacing w:before="40" w:after="80"/>
              <w:rPr>
                <w:rFonts w:cstheme="minorHAnsi"/>
                <w:sz w:val="20"/>
                <w:szCs w:val="20"/>
                <w:lang w:val="fr-FR"/>
              </w:rPr>
            </w:pPr>
            <w:r w:rsidRPr="00CC1DA8">
              <w:rPr>
                <w:rFonts w:eastAsia="Times New Roman" w:cstheme="minorHAnsi"/>
                <w:b/>
                <w:color w:val="000000"/>
                <w:sz w:val="20"/>
                <w:szCs w:val="20"/>
                <w:lang w:val="fr-FR"/>
              </w:rPr>
              <w:t xml:space="preserve">Par source de financement : </w:t>
            </w:r>
            <w:r w:rsidRPr="00CC1DA8">
              <w:rPr>
                <w:rFonts w:eastAsia="Times New Roman" w:cstheme="minorHAnsi"/>
                <w:color w:val="000000"/>
                <w:sz w:val="20"/>
                <w:szCs w:val="20"/>
                <w:lang w:val="fr-FR"/>
              </w:rPr>
              <w:t>Le financement reçu par l’entremise d’un secteur est déclaré à ce secteur. Mais les secteurs ne recoupent pas / ne vérifient pas les autres secteurs.</w:t>
            </w:r>
          </w:p>
          <w:p w14:paraId="78944092" w14:textId="4282C702" w:rsidR="009A66E3" w:rsidRPr="00CC1DA8" w:rsidRDefault="00BF7B88" w:rsidP="00BF7B88">
            <w:pPr>
              <w:pStyle w:val="ListParagraph"/>
              <w:numPr>
                <w:ilvl w:val="0"/>
                <w:numId w:val="21"/>
              </w:numPr>
              <w:spacing w:before="40" w:after="80"/>
              <w:rPr>
                <w:rFonts w:cstheme="minorHAnsi"/>
                <w:sz w:val="20"/>
                <w:szCs w:val="20"/>
                <w:lang w:val="fr-FR"/>
              </w:rPr>
            </w:pPr>
            <w:r w:rsidRPr="00CC1DA8">
              <w:rPr>
                <w:rFonts w:eastAsia="Times New Roman" w:cstheme="minorHAnsi"/>
                <w:color w:val="000000"/>
                <w:sz w:val="20"/>
                <w:szCs w:val="20"/>
                <w:lang w:val="fr-FR"/>
              </w:rPr>
              <w:t>Plus de discussions de suivi avec les principaux partenaires intersectoriels afin de clarifier les liens hiérarchique</w:t>
            </w:r>
            <w:r w:rsidR="009A66E3" w:rsidRPr="00CC1DA8">
              <w:rPr>
                <w:rFonts w:eastAsia="Times New Roman" w:cstheme="minorHAnsi"/>
                <w:color w:val="000000"/>
                <w:sz w:val="20"/>
                <w:szCs w:val="20"/>
                <w:lang w:val="fr-FR"/>
              </w:rPr>
              <w:t xml:space="preserve"> (</w:t>
            </w:r>
            <w:proofErr w:type="spellStart"/>
            <w:r w:rsidR="00406B0E" w:rsidRPr="00CC1DA8">
              <w:rPr>
                <w:rFonts w:eastAsia="Calibri" w:cstheme="minorHAnsi"/>
                <w:b/>
                <w:bCs/>
                <w:sz w:val="20"/>
                <w:szCs w:val="20"/>
                <w:lang w:val="fr-FR"/>
              </w:rPr>
              <w:t>Cox’s</w:t>
            </w:r>
            <w:proofErr w:type="spellEnd"/>
            <w:r w:rsidR="00406B0E" w:rsidRPr="00CC1DA8">
              <w:rPr>
                <w:rFonts w:eastAsia="Calibri" w:cstheme="minorHAnsi"/>
                <w:b/>
                <w:bCs/>
                <w:sz w:val="20"/>
                <w:szCs w:val="20"/>
                <w:lang w:val="fr-FR"/>
              </w:rPr>
              <w:t xml:space="preserve"> </w:t>
            </w:r>
            <w:proofErr w:type="spellStart"/>
            <w:r w:rsidR="00406B0E" w:rsidRPr="00CC1DA8">
              <w:rPr>
                <w:rFonts w:eastAsia="Calibri" w:cstheme="minorHAnsi"/>
                <w:b/>
                <w:bCs/>
                <w:sz w:val="20"/>
                <w:szCs w:val="20"/>
                <w:lang w:val="fr-FR"/>
              </w:rPr>
              <w:t>Bazaar</w:t>
            </w:r>
            <w:proofErr w:type="spellEnd"/>
            <w:r w:rsidR="009A66E3" w:rsidRPr="00CC1DA8">
              <w:rPr>
                <w:rFonts w:eastAsia="Times New Roman" w:cstheme="minorHAnsi"/>
                <w:color w:val="000000"/>
                <w:sz w:val="20"/>
                <w:szCs w:val="20"/>
                <w:lang w:val="fr-FR"/>
              </w:rPr>
              <w:t>)</w:t>
            </w:r>
          </w:p>
          <w:p w14:paraId="246ADD25" w14:textId="32B2A152" w:rsidR="009A66E3" w:rsidRPr="00CC1DA8" w:rsidRDefault="009A66E3" w:rsidP="00D51EE4">
            <w:pPr>
              <w:rPr>
                <w:rFonts w:cstheme="minorHAnsi"/>
                <w:sz w:val="20"/>
                <w:szCs w:val="20"/>
                <w:u w:val="single"/>
                <w:lang w:val="fr-FR"/>
              </w:rPr>
            </w:pPr>
          </w:p>
          <w:p w14:paraId="34EB123F" w14:textId="0FB0C838" w:rsidR="009A66E3" w:rsidRPr="00CC1DA8" w:rsidRDefault="00BF7B88" w:rsidP="003A0DB7">
            <w:pPr>
              <w:rPr>
                <w:rFonts w:eastAsia="Times New Roman" w:cstheme="minorHAnsi"/>
                <w:color w:val="000000"/>
                <w:sz w:val="20"/>
                <w:szCs w:val="20"/>
                <w:lang w:val="fr-FR"/>
              </w:rPr>
            </w:pPr>
            <w:r w:rsidRPr="00CC1DA8">
              <w:rPr>
                <w:rFonts w:cstheme="minorHAnsi"/>
                <w:bCs/>
                <w:sz w:val="20"/>
                <w:szCs w:val="20"/>
                <w:u w:val="single"/>
                <w:lang w:val="fr-FR"/>
              </w:rPr>
              <w:t>Indicateurs d’agrégation</w:t>
            </w:r>
            <w:r w:rsidRPr="00CC1DA8">
              <w:rPr>
                <w:rFonts w:cstheme="minorHAnsi"/>
                <w:bCs/>
                <w:sz w:val="20"/>
                <w:szCs w:val="20"/>
                <w:lang w:val="fr-FR"/>
              </w:rPr>
              <w:t xml:space="preserve"> (</w:t>
            </w:r>
            <w:r w:rsidRPr="00CC1DA8">
              <w:rPr>
                <w:rFonts w:cstheme="minorHAnsi"/>
                <w:b/>
                <w:bCs/>
                <w:sz w:val="20"/>
                <w:szCs w:val="20"/>
                <w:lang w:val="fr-FR"/>
              </w:rPr>
              <w:t>Iraq</w:t>
            </w:r>
            <w:r w:rsidRPr="00CC1DA8">
              <w:rPr>
                <w:rFonts w:cstheme="minorHAnsi"/>
                <w:bCs/>
                <w:sz w:val="20"/>
                <w:szCs w:val="20"/>
                <w:lang w:val="fr-FR"/>
              </w:rPr>
              <w:t xml:space="preserve">). Changer les liens hiérarchiques est politique, mieux vaut avoir le bon système pour agréger les rapports, peu importe à quel « cluster » les partenaires se soumettent.          </w:t>
            </w:r>
          </w:p>
          <w:p w14:paraId="43429CAF" w14:textId="77777777" w:rsidR="009A66E3" w:rsidRPr="00CC1DA8" w:rsidRDefault="009A66E3" w:rsidP="00D51EE4">
            <w:pPr>
              <w:rPr>
                <w:rFonts w:cstheme="minorHAnsi"/>
                <w:sz w:val="20"/>
                <w:szCs w:val="20"/>
                <w:lang w:val="fr-FR"/>
              </w:rPr>
            </w:pPr>
          </w:p>
          <w:p w14:paraId="2C4ACD9C" w14:textId="6AE198D8" w:rsidR="009A66E3" w:rsidRPr="00CC1DA8" w:rsidRDefault="00AA15C0" w:rsidP="003A0DB7">
            <w:pPr>
              <w:rPr>
                <w:rFonts w:cstheme="minorHAnsi"/>
                <w:sz w:val="20"/>
                <w:szCs w:val="20"/>
                <w:u w:val="single"/>
                <w:lang w:val="fr-FR"/>
              </w:rPr>
            </w:pPr>
            <w:r w:rsidRPr="00CC1DA8">
              <w:rPr>
                <w:rFonts w:cstheme="minorHAnsi"/>
                <w:bCs/>
                <w:sz w:val="20"/>
                <w:szCs w:val="20"/>
                <w:u w:val="single"/>
                <w:lang w:val="fr-FR"/>
              </w:rPr>
              <w:t>Suivi et évaluation de l’étendue et de la qualité de la collaboration CP-EiE</w:t>
            </w:r>
            <w:r w:rsidR="00D51EE4" w:rsidRPr="00CC1DA8">
              <w:rPr>
                <w:rFonts w:cstheme="minorHAnsi"/>
                <w:sz w:val="20"/>
                <w:szCs w:val="20"/>
                <w:lang w:val="fr-FR"/>
              </w:rPr>
              <w:t xml:space="preserve"> (</w:t>
            </w:r>
            <w:hyperlink r:id="rId15" w:history="1">
              <w:r w:rsidR="00D51EE4" w:rsidRPr="00CC1DA8">
                <w:rPr>
                  <w:rStyle w:val="Hyperlink"/>
                  <w:rFonts w:cstheme="minorHAnsi"/>
                  <w:sz w:val="20"/>
                  <w:szCs w:val="20"/>
                  <w:lang w:val="fr-FR"/>
                </w:rPr>
                <w:t>Annex</w:t>
              </w:r>
              <w:r w:rsidRPr="00CC1DA8">
                <w:rPr>
                  <w:rStyle w:val="Hyperlink"/>
                  <w:rFonts w:cstheme="minorHAnsi"/>
                  <w:sz w:val="20"/>
                  <w:szCs w:val="20"/>
                  <w:lang w:val="fr-FR"/>
                </w:rPr>
                <w:t>e</w:t>
              </w:r>
              <w:r w:rsidR="00D51EE4" w:rsidRPr="00CC1DA8">
                <w:rPr>
                  <w:rStyle w:val="Hyperlink"/>
                  <w:rFonts w:cstheme="minorHAnsi"/>
                  <w:sz w:val="20"/>
                  <w:szCs w:val="20"/>
                  <w:lang w:val="fr-FR"/>
                </w:rPr>
                <w:t xml:space="preserve"> 14</w:t>
              </w:r>
            </w:hyperlink>
            <w:r w:rsidR="00D51EE4" w:rsidRPr="00CC1DA8">
              <w:rPr>
                <w:rFonts w:cstheme="minorHAnsi"/>
                <w:sz w:val="20"/>
                <w:szCs w:val="20"/>
                <w:lang w:val="fr-FR"/>
              </w:rPr>
              <w:t>)</w:t>
            </w:r>
          </w:p>
          <w:p w14:paraId="26BAC5C3" w14:textId="4C46264D" w:rsidR="009A66E3" w:rsidRPr="00CC1DA8" w:rsidRDefault="000707DF" w:rsidP="009A66E3">
            <w:pPr>
              <w:pStyle w:val="ListParagraph"/>
              <w:numPr>
                <w:ilvl w:val="0"/>
                <w:numId w:val="21"/>
              </w:numPr>
              <w:spacing w:before="40"/>
              <w:ind w:left="312" w:hanging="284"/>
              <w:rPr>
                <w:rFonts w:cstheme="minorHAnsi"/>
                <w:sz w:val="20"/>
                <w:szCs w:val="20"/>
                <w:lang w:val="fr-FR"/>
              </w:rPr>
            </w:pPr>
            <w:r w:rsidRPr="00CC1DA8">
              <w:rPr>
                <w:rFonts w:cstheme="minorHAnsi"/>
                <w:color w:val="4472C4" w:themeColor="accent1"/>
                <w:sz w:val="20"/>
                <w:szCs w:val="20"/>
                <w:u w:val="single"/>
                <w:lang w:val="fr-FR"/>
              </w:rPr>
              <w:t>Checklist</w:t>
            </w:r>
            <w:r w:rsidR="00AA15C0" w:rsidRPr="00CC1DA8">
              <w:rPr>
                <w:rFonts w:cstheme="minorHAnsi"/>
                <w:color w:val="4472C4" w:themeColor="accent1"/>
                <w:sz w:val="20"/>
                <w:szCs w:val="20"/>
                <w:u w:val="single"/>
              </w:rPr>
              <w:t xml:space="preserve"> du Cluster Protection pour les écoles</w:t>
            </w:r>
            <w:r w:rsidR="00AA15C0" w:rsidRPr="00CC1DA8">
              <w:rPr>
                <w:rFonts w:cstheme="minorHAnsi"/>
                <w:color w:val="4472C4" w:themeColor="accent1"/>
                <w:sz w:val="20"/>
                <w:szCs w:val="20"/>
              </w:rPr>
              <w:t xml:space="preserve"> </w:t>
            </w:r>
            <w:r w:rsidR="00AA15C0" w:rsidRPr="00CC1DA8">
              <w:rPr>
                <w:rFonts w:cstheme="minorHAnsi"/>
                <w:sz w:val="20"/>
                <w:szCs w:val="20"/>
              </w:rPr>
              <w:t>(</w:t>
            </w:r>
            <w:r w:rsidR="00AA15C0" w:rsidRPr="00CC1DA8">
              <w:rPr>
                <w:rFonts w:cstheme="minorHAnsi"/>
                <w:b/>
                <w:sz w:val="20"/>
                <w:szCs w:val="20"/>
              </w:rPr>
              <w:t>Zimbabwe</w:t>
            </w:r>
            <w:r w:rsidR="00AA15C0" w:rsidRPr="00CC1DA8">
              <w:rPr>
                <w:rFonts w:cstheme="minorHAnsi"/>
                <w:sz w:val="20"/>
                <w:szCs w:val="20"/>
              </w:rPr>
              <w:t>) - outil de suivi pour guider les secteur</w:t>
            </w:r>
            <w:r w:rsidRPr="00CC1DA8">
              <w:rPr>
                <w:rFonts w:cstheme="minorHAnsi"/>
                <w:sz w:val="20"/>
                <w:szCs w:val="20"/>
              </w:rPr>
              <w:t>s de la Protection des Enfants et de l’E</w:t>
            </w:r>
            <w:r w:rsidR="00AA15C0" w:rsidRPr="00CC1DA8">
              <w:rPr>
                <w:rFonts w:cstheme="minorHAnsi"/>
                <w:sz w:val="20"/>
                <w:szCs w:val="20"/>
              </w:rPr>
              <w:t>ducation dans l’identification et la réduction des lacunes dans l’intégration des approches sensibles au Cluster Protection dans le système scolaire. Les résultats de l’outil de suivi sont utilisés pour renforcer les efforts visant à établir des liens entre les secteurs du Cluster Protection</w:t>
            </w:r>
            <w:r w:rsidRPr="00CC1DA8">
              <w:rPr>
                <w:rFonts w:cstheme="minorHAnsi"/>
                <w:sz w:val="20"/>
                <w:szCs w:val="20"/>
              </w:rPr>
              <w:t xml:space="preserve"> et de l’E</w:t>
            </w:r>
            <w:r w:rsidR="00AA15C0" w:rsidRPr="00CC1DA8">
              <w:rPr>
                <w:rFonts w:cstheme="minorHAnsi"/>
                <w:sz w:val="20"/>
                <w:szCs w:val="20"/>
              </w:rPr>
              <w:t xml:space="preserve">ducation par le biais de réunions de </w:t>
            </w:r>
            <w:r w:rsidR="00AA15C0" w:rsidRPr="00CC1DA8">
              <w:rPr>
                <w:rFonts w:cstheme="minorHAnsi"/>
                <w:sz w:val="20"/>
                <w:szCs w:val="20"/>
              </w:rPr>
              <w:lastRenderedPageBreak/>
              <w:t>coordination intersectorielles au niveau des districts et des pays.</w:t>
            </w:r>
          </w:p>
          <w:p w14:paraId="66418A5A" w14:textId="7BA6896D" w:rsidR="009A66E3" w:rsidRPr="00CC1DA8" w:rsidRDefault="000707DF" w:rsidP="00AA15C0">
            <w:pPr>
              <w:pStyle w:val="ListParagraph"/>
              <w:numPr>
                <w:ilvl w:val="0"/>
                <w:numId w:val="21"/>
              </w:numPr>
              <w:spacing w:before="40"/>
              <w:rPr>
                <w:rFonts w:cstheme="minorHAnsi"/>
                <w:sz w:val="20"/>
                <w:szCs w:val="20"/>
                <w:lang w:val="fr-FR"/>
              </w:rPr>
            </w:pPr>
            <w:r w:rsidRPr="00CC1DA8">
              <w:rPr>
                <w:rFonts w:cstheme="minorHAnsi"/>
                <w:sz w:val="20"/>
                <w:szCs w:val="20"/>
                <w:lang w:val="fr-FR"/>
              </w:rPr>
              <w:t>Checklist</w:t>
            </w:r>
            <w:r w:rsidR="00AA15C0" w:rsidRPr="00CC1DA8">
              <w:rPr>
                <w:rFonts w:cstheme="minorHAnsi"/>
                <w:sz w:val="20"/>
                <w:szCs w:val="20"/>
                <w:lang w:val="fr-FR"/>
              </w:rPr>
              <w:t xml:space="preserve"> de l’intégration</w:t>
            </w:r>
            <w:r w:rsidR="009A66E3" w:rsidRPr="00CC1DA8">
              <w:rPr>
                <w:rFonts w:cstheme="minorHAnsi"/>
                <w:sz w:val="20"/>
                <w:szCs w:val="20"/>
                <w:lang w:val="fr-FR"/>
              </w:rPr>
              <w:t xml:space="preserve"> (</w:t>
            </w:r>
            <w:r w:rsidR="009A66E3" w:rsidRPr="00CC1DA8">
              <w:rPr>
                <w:rFonts w:cstheme="minorHAnsi"/>
                <w:b/>
                <w:sz w:val="20"/>
                <w:szCs w:val="20"/>
                <w:lang w:val="fr-FR"/>
              </w:rPr>
              <w:t>Nigeria)</w:t>
            </w:r>
          </w:p>
          <w:p w14:paraId="7B658797" w14:textId="0C672F72" w:rsidR="009A66E3" w:rsidRPr="00CC1DA8" w:rsidRDefault="000707DF" w:rsidP="00AA15C0">
            <w:pPr>
              <w:pStyle w:val="ListParagraph"/>
              <w:numPr>
                <w:ilvl w:val="0"/>
                <w:numId w:val="21"/>
              </w:numPr>
              <w:spacing w:before="40"/>
              <w:rPr>
                <w:rFonts w:cstheme="minorHAnsi"/>
                <w:sz w:val="20"/>
                <w:szCs w:val="20"/>
                <w:lang w:val="fr-FR"/>
              </w:rPr>
            </w:pPr>
            <w:r w:rsidRPr="00CC1DA8">
              <w:rPr>
                <w:rFonts w:cstheme="minorHAnsi"/>
                <w:color w:val="4472C4" w:themeColor="accent1"/>
                <w:sz w:val="20"/>
                <w:szCs w:val="20"/>
                <w:lang w:val="fr-FR"/>
              </w:rPr>
              <w:t>Checklist</w:t>
            </w:r>
            <w:r w:rsidR="00AA15C0" w:rsidRPr="00CC1DA8">
              <w:rPr>
                <w:rFonts w:cstheme="minorHAnsi"/>
                <w:color w:val="4472C4" w:themeColor="accent1"/>
                <w:sz w:val="20"/>
                <w:szCs w:val="20"/>
                <w:lang w:val="fr-FR"/>
              </w:rPr>
              <w:t xml:space="preserve"> </w:t>
            </w:r>
            <w:r w:rsidR="00AA15C0" w:rsidRPr="00CC1DA8">
              <w:rPr>
                <w:rFonts w:cstheme="minorHAnsi"/>
                <w:sz w:val="20"/>
                <w:szCs w:val="20"/>
                <w:lang w:val="fr-FR"/>
              </w:rPr>
              <w:t>PSS &amp;CP dans les écoles élaborées par le groupe de travail MHPSS</w:t>
            </w:r>
            <w:r w:rsidR="009A66E3" w:rsidRPr="00CC1DA8">
              <w:rPr>
                <w:rFonts w:cstheme="minorHAnsi"/>
                <w:sz w:val="20"/>
                <w:szCs w:val="20"/>
                <w:lang w:val="fr-FR"/>
              </w:rPr>
              <w:t xml:space="preserve"> (</w:t>
            </w:r>
            <w:r w:rsidR="009A66E3" w:rsidRPr="00CC1DA8">
              <w:rPr>
                <w:rFonts w:cstheme="minorHAnsi"/>
                <w:b/>
                <w:sz w:val="20"/>
                <w:szCs w:val="20"/>
                <w:lang w:val="fr-FR"/>
              </w:rPr>
              <w:t xml:space="preserve">South </w:t>
            </w:r>
            <w:proofErr w:type="spellStart"/>
            <w:r w:rsidR="009A66E3" w:rsidRPr="00CC1DA8">
              <w:rPr>
                <w:rFonts w:cstheme="minorHAnsi"/>
                <w:b/>
                <w:sz w:val="20"/>
                <w:szCs w:val="20"/>
                <w:lang w:val="fr-FR"/>
              </w:rPr>
              <w:t>Sudan</w:t>
            </w:r>
            <w:proofErr w:type="spellEnd"/>
            <w:r w:rsidR="009A66E3" w:rsidRPr="00CC1DA8">
              <w:rPr>
                <w:rFonts w:cstheme="minorHAnsi"/>
                <w:sz w:val="20"/>
                <w:szCs w:val="20"/>
                <w:lang w:val="fr-FR"/>
              </w:rPr>
              <w:t>)</w:t>
            </w:r>
          </w:p>
          <w:p w14:paraId="3343E00D" w14:textId="6D93F13E" w:rsidR="002F323D" w:rsidRPr="00CC1DA8" w:rsidRDefault="00AA15C0" w:rsidP="00AA15C0">
            <w:pPr>
              <w:pStyle w:val="ListParagraph"/>
              <w:numPr>
                <w:ilvl w:val="0"/>
                <w:numId w:val="21"/>
              </w:numPr>
              <w:spacing w:before="40"/>
              <w:rPr>
                <w:rFonts w:cstheme="minorHAnsi"/>
                <w:sz w:val="20"/>
                <w:szCs w:val="20"/>
                <w:lang w:val="fr-FR"/>
              </w:rPr>
            </w:pPr>
            <w:r w:rsidRPr="00CC1DA8">
              <w:rPr>
                <w:rFonts w:cstheme="minorHAnsi"/>
                <w:sz w:val="20"/>
                <w:szCs w:val="20"/>
                <w:lang w:val="fr-FR"/>
              </w:rPr>
              <w:t>Marquage intersectoriel – une couche supplémentaire dans les rapports qui permet de surveiller l’étendue / prévalence de la programmation intégrée, et éventuellement l’impact à valeur ajoutée (Exemple de marquage 4W pour l’</w:t>
            </w:r>
            <w:r w:rsidRPr="00CC1DA8">
              <w:rPr>
                <w:rFonts w:cstheme="minorHAnsi"/>
                <w:b/>
                <w:sz w:val="20"/>
                <w:szCs w:val="20"/>
                <w:lang w:val="fr-FR"/>
              </w:rPr>
              <w:t>ensemble de la Syrie</w:t>
            </w:r>
            <w:r w:rsidRPr="00CC1DA8">
              <w:rPr>
                <w:rFonts w:cstheme="minorHAnsi"/>
                <w:sz w:val="20"/>
                <w:szCs w:val="20"/>
                <w:lang w:val="fr-FR"/>
              </w:rPr>
              <w:t xml:space="preserve"> </w:t>
            </w:r>
            <w:r w:rsidR="000707DF" w:rsidRPr="00CC1DA8">
              <w:rPr>
                <w:rFonts w:cstheme="minorHAnsi"/>
                <w:sz w:val="20"/>
                <w:szCs w:val="20"/>
                <w:lang w:val="fr-FR"/>
              </w:rPr>
              <w:t xml:space="preserve">en </w:t>
            </w:r>
            <w:r w:rsidRPr="00CC1DA8">
              <w:rPr>
                <w:rFonts w:cstheme="minorHAnsi"/>
                <w:sz w:val="20"/>
                <w:szCs w:val="20"/>
                <w:lang w:val="fr-FR"/>
              </w:rPr>
              <w:t xml:space="preserve">2019 pour les adolescents, exemple 2018 de marquage 4W pour No </w:t>
            </w:r>
            <w:proofErr w:type="spellStart"/>
            <w:r w:rsidRPr="00CC1DA8">
              <w:rPr>
                <w:rFonts w:cstheme="minorHAnsi"/>
                <w:sz w:val="20"/>
                <w:szCs w:val="20"/>
                <w:lang w:val="fr-FR"/>
              </w:rPr>
              <w:t>Lost</w:t>
            </w:r>
            <w:proofErr w:type="spellEnd"/>
            <w:r w:rsidRPr="00CC1DA8">
              <w:rPr>
                <w:rFonts w:cstheme="minorHAnsi"/>
                <w:sz w:val="20"/>
                <w:szCs w:val="20"/>
                <w:lang w:val="fr-FR"/>
              </w:rPr>
              <w:t xml:space="preserve"> </w:t>
            </w:r>
            <w:proofErr w:type="spellStart"/>
            <w:r w:rsidRPr="00CC1DA8">
              <w:rPr>
                <w:rFonts w:cstheme="minorHAnsi"/>
                <w:sz w:val="20"/>
                <w:szCs w:val="20"/>
                <w:lang w:val="fr-FR"/>
              </w:rPr>
              <w:t>Generation</w:t>
            </w:r>
            <w:proofErr w:type="spellEnd"/>
            <w:r w:rsidRPr="00CC1DA8">
              <w:rPr>
                <w:rFonts w:cstheme="minorHAnsi"/>
                <w:sz w:val="20"/>
                <w:szCs w:val="20"/>
                <w:lang w:val="fr-FR"/>
              </w:rPr>
              <w:t>)</w:t>
            </w:r>
          </w:p>
          <w:p w14:paraId="796446A7" w14:textId="77777777" w:rsidR="00AC5624" w:rsidRPr="00CC1DA8" w:rsidRDefault="00AC5624" w:rsidP="00AC5624">
            <w:pPr>
              <w:spacing w:before="40"/>
              <w:rPr>
                <w:rFonts w:cstheme="minorHAnsi"/>
                <w:sz w:val="20"/>
                <w:szCs w:val="20"/>
                <w:lang w:val="fr-FR"/>
              </w:rPr>
            </w:pPr>
          </w:p>
          <w:p w14:paraId="2D62A23D" w14:textId="77777777" w:rsidR="00AC5624" w:rsidRPr="00CC1DA8" w:rsidRDefault="00AC5624" w:rsidP="00AC5624">
            <w:pPr>
              <w:spacing w:before="40"/>
              <w:rPr>
                <w:rFonts w:cstheme="minorHAnsi"/>
                <w:sz w:val="20"/>
                <w:szCs w:val="20"/>
                <w:lang w:val="fr-FR"/>
              </w:rPr>
            </w:pPr>
          </w:p>
          <w:p w14:paraId="05AFC1DC" w14:textId="77777777" w:rsidR="00AC5624" w:rsidRPr="00CC1DA8" w:rsidRDefault="00AC5624" w:rsidP="00AC5624">
            <w:pPr>
              <w:spacing w:before="40"/>
              <w:rPr>
                <w:rFonts w:cstheme="minorHAnsi"/>
                <w:sz w:val="20"/>
                <w:szCs w:val="20"/>
                <w:lang w:val="fr-FR"/>
              </w:rPr>
            </w:pPr>
          </w:p>
          <w:p w14:paraId="7A00DDAE" w14:textId="77777777" w:rsidR="00AC5624" w:rsidRPr="00CC1DA8" w:rsidRDefault="00AC5624" w:rsidP="00AC5624">
            <w:pPr>
              <w:spacing w:before="40"/>
              <w:rPr>
                <w:rFonts w:cstheme="minorHAnsi"/>
                <w:sz w:val="20"/>
                <w:szCs w:val="20"/>
                <w:lang w:val="fr-FR"/>
              </w:rPr>
            </w:pPr>
          </w:p>
          <w:p w14:paraId="3D133E56" w14:textId="42ACCB52" w:rsidR="00AC5624" w:rsidRPr="00CC1DA8" w:rsidRDefault="00AC5624" w:rsidP="00AC5624">
            <w:pPr>
              <w:spacing w:before="40"/>
              <w:rPr>
                <w:rFonts w:cstheme="minorHAnsi"/>
                <w:sz w:val="20"/>
                <w:szCs w:val="20"/>
                <w:lang w:val="fr-FR"/>
              </w:rPr>
            </w:pPr>
          </w:p>
        </w:tc>
      </w:tr>
      <w:tr w:rsidR="0019309F" w:rsidRPr="0035024E" w14:paraId="7398F3F6" w14:textId="77777777" w:rsidTr="002F323D">
        <w:trPr>
          <w:trHeight w:val="199"/>
        </w:trPr>
        <w:tc>
          <w:tcPr>
            <w:tcW w:w="14601" w:type="dxa"/>
            <w:gridSpan w:val="4"/>
            <w:shd w:val="clear" w:color="auto" w:fill="EB3741"/>
          </w:tcPr>
          <w:p w14:paraId="02B1A1CD" w14:textId="0F19D6BF" w:rsidR="0019309F" w:rsidRPr="0019309F" w:rsidRDefault="00A63B61" w:rsidP="00D51EE4">
            <w:pPr>
              <w:jc w:val="center"/>
              <w:rPr>
                <w:rFonts w:eastAsia="Times New Roman" w:cstheme="minorHAnsi"/>
                <w:b/>
                <w:bCs/>
                <w:color w:val="000000"/>
                <w:sz w:val="20"/>
                <w:szCs w:val="20"/>
                <w:lang w:val="en-GB"/>
              </w:rPr>
            </w:pPr>
            <w:r w:rsidRPr="00A63B61">
              <w:rPr>
                <w:rFonts w:eastAsia="Times New Roman" w:cstheme="minorHAnsi"/>
                <w:b/>
                <w:bCs/>
                <w:color w:val="FFFFFF" w:themeColor="background1"/>
                <w:sz w:val="20"/>
                <w:szCs w:val="20"/>
                <w:lang w:val="en-GB"/>
              </w:rPr>
              <w:lastRenderedPageBreak/>
              <w:t xml:space="preserve">RESSOURCES AU NIVEAU MONDIAL </w:t>
            </w:r>
          </w:p>
        </w:tc>
      </w:tr>
      <w:tr w:rsidR="009A66E3" w:rsidRPr="00686808" w14:paraId="4A849633" w14:textId="77777777" w:rsidTr="002F323D">
        <w:trPr>
          <w:trHeight w:val="1392"/>
        </w:trPr>
        <w:tc>
          <w:tcPr>
            <w:tcW w:w="4395" w:type="dxa"/>
          </w:tcPr>
          <w:p w14:paraId="00A49012" w14:textId="227DCB1C" w:rsidR="00406B0E" w:rsidRPr="00CC1DA8" w:rsidRDefault="00851E2A" w:rsidP="00851E2A">
            <w:pPr>
              <w:pStyle w:val="ListParagraph"/>
              <w:numPr>
                <w:ilvl w:val="0"/>
                <w:numId w:val="21"/>
              </w:numPr>
              <w:spacing w:before="40"/>
              <w:rPr>
                <w:rFonts w:cstheme="minorHAnsi"/>
                <w:sz w:val="20"/>
                <w:szCs w:val="20"/>
                <w:lang w:val="fr-FR"/>
              </w:rPr>
            </w:pPr>
            <w:r w:rsidRPr="00CC1DA8">
              <w:rPr>
                <w:rFonts w:eastAsia="Times New Roman"/>
                <w:sz w:val="20"/>
                <w:szCs w:val="20"/>
                <w:lang w:val="fr-FR"/>
              </w:rPr>
              <w:t>Considérations fondées sur des scénarios pour la différenciation des activités complémentaires du CP-EiE</w:t>
            </w:r>
            <w:r w:rsidR="00406B0E" w:rsidRPr="00CC1DA8">
              <w:rPr>
                <w:rFonts w:eastAsia="Times New Roman"/>
                <w:sz w:val="20"/>
                <w:szCs w:val="20"/>
                <w:lang w:val="fr-FR"/>
              </w:rPr>
              <w:t xml:space="preserve"> (</w:t>
            </w:r>
            <w:hyperlink r:id="rId16" w:history="1">
              <w:r w:rsidR="00406B0E" w:rsidRPr="00CC1DA8">
                <w:rPr>
                  <w:rStyle w:val="Hyperlink"/>
                  <w:rFonts w:eastAsia="Times New Roman"/>
                  <w:sz w:val="20"/>
                  <w:szCs w:val="20"/>
                  <w:lang w:val="fr-FR"/>
                </w:rPr>
                <w:t>Annex</w:t>
              </w:r>
              <w:r w:rsidR="00695370" w:rsidRPr="00CC1DA8">
                <w:rPr>
                  <w:rStyle w:val="Hyperlink"/>
                  <w:rFonts w:eastAsia="Times New Roman"/>
                  <w:sz w:val="20"/>
                  <w:szCs w:val="20"/>
                  <w:lang w:val="fr-FR"/>
                </w:rPr>
                <w:t>e</w:t>
              </w:r>
              <w:r w:rsidR="00406B0E" w:rsidRPr="00CC1DA8">
                <w:rPr>
                  <w:rStyle w:val="Hyperlink"/>
                  <w:rFonts w:eastAsia="Times New Roman"/>
                  <w:sz w:val="20"/>
                  <w:szCs w:val="20"/>
                  <w:lang w:val="fr-FR"/>
                </w:rPr>
                <w:t xml:space="preserve"> 11</w:t>
              </w:r>
            </w:hyperlink>
            <w:r w:rsidR="00406B0E" w:rsidRPr="00CC1DA8">
              <w:rPr>
                <w:rFonts w:eastAsia="Times New Roman"/>
                <w:sz w:val="20"/>
                <w:szCs w:val="20"/>
                <w:lang w:val="fr-FR"/>
              </w:rPr>
              <w:t>)</w:t>
            </w:r>
          </w:p>
          <w:p w14:paraId="6683AD8D" w14:textId="10CA6703" w:rsidR="006526F4" w:rsidRPr="00CC1DA8" w:rsidRDefault="00471FC8" w:rsidP="00695370">
            <w:pPr>
              <w:pStyle w:val="ListParagraph"/>
              <w:numPr>
                <w:ilvl w:val="0"/>
                <w:numId w:val="21"/>
              </w:numPr>
              <w:spacing w:before="40"/>
              <w:rPr>
                <w:rFonts w:cstheme="minorHAnsi"/>
                <w:sz w:val="20"/>
                <w:szCs w:val="20"/>
                <w:lang w:val="fr-FR"/>
              </w:rPr>
            </w:pPr>
            <w:r w:rsidRPr="00CC1DA8">
              <w:rPr>
                <w:rFonts w:eastAsia="Times New Roman"/>
                <w:sz w:val="20"/>
                <w:szCs w:val="20"/>
                <w:lang w:val="fr-FR"/>
              </w:rPr>
              <w:t xml:space="preserve">Pour les considérations liées au </w:t>
            </w:r>
            <w:r w:rsidR="00695370" w:rsidRPr="00CC1DA8">
              <w:rPr>
                <w:rFonts w:eastAsia="Times New Roman"/>
                <w:sz w:val="20"/>
                <w:szCs w:val="20"/>
                <w:lang w:val="fr-FR"/>
              </w:rPr>
              <w:t xml:space="preserve">genre dans la mise en œuvre, voir </w:t>
            </w:r>
            <w:r w:rsidR="00695370" w:rsidRPr="00CC1DA8">
              <w:rPr>
                <w:rFonts w:eastAsia="Times New Roman"/>
                <w:color w:val="4472C4" w:themeColor="accent1"/>
                <w:sz w:val="20"/>
                <w:szCs w:val="20"/>
                <w:u w:val="single"/>
                <w:lang w:val="fr-FR"/>
              </w:rPr>
              <w:t xml:space="preserve">la Note d’Orientation de l’INEE sur le Genre </w:t>
            </w:r>
            <w:r w:rsidR="00695370" w:rsidRPr="00CC1DA8">
              <w:rPr>
                <w:rFonts w:eastAsia="Times New Roman"/>
                <w:sz w:val="20"/>
                <w:szCs w:val="20"/>
                <w:lang w:val="fr-FR"/>
              </w:rPr>
              <w:t xml:space="preserve">(2019) Stratégies pour une planification et une mise en </w:t>
            </w:r>
            <w:r w:rsidRPr="00CC1DA8">
              <w:rPr>
                <w:rFonts w:eastAsia="Times New Roman"/>
                <w:sz w:val="20"/>
                <w:szCs w:val="20"/>
                <w:lang w:val="fr-FR"/>
              </w:rPr>
              <w:t>œuvre qui tiennent compte du</w:t>
            </w:r>
            <w:r w:rsidR="00695370" w:rsidRPr="00CC1DA8">
              <w:rPr>
                <w:rFonts w:eastAsia="Times New Roman"/>
                <w:sz w:val="20"/>
                <w:szCs w:val="20"/>
                <w:lang w:val="fr-FR"/>
              </w:rPr>
              <w:t xml:space="preserve"> genre p. 94-97          </w:t>
            </w:r>
          </w:p>
        </w:tc>
        <w:tc>
          <w:tcPr>
            <w:tcW w:w="3119" w:type="dxa"/>
          </w:tcPr>
          <w:p w14:paraId="64A5D662" w14:textId="77777777" w:rsidR="009A66E3" w:rsidRPr="00CC1DA8" w:rsidRDefault="009A66E3" w:rsidP="003A0DB7">
            <w:pPr>
              <w:spacing w:before="40"/>
              <w:ind w:left="28"/>
              <w:rPr>
                <w:rFonts w:cstheme="minorHAnsi"/>
                <w:sz w:val="20"/>
                <w:szCs w:val="20"/>
                <w:lang w:val="fr-FR"/>
              </w:rPr>
            </w:pPr>
          </w:p>
        </w:tc>
        <w:tc>
          <w:tcPr>
            <w:tcW w:w="1842" w:type="dxa"/>
          </w:tcPr>
          <w:p w14:paraId="491E577A" w14:textId="11E2D8B9" w:rsidR="009A66E3" w:rsidRPr="00CC1DA8" w:rsidRDefault="000949F8" w:rsidP="003A0DB7">
            <w:pPr>
              <w:pStyle w:val="ListParagraph"/>
              <w:numPr>
                <w:ilvl w:val="0"/>
                <w:numId w:val="21"/>
              </w:numPr>
              <w:spacing w:before="40"/>
              <w:ind w:left="312" w:hanging="284"/>
              <w:rPr>
                <w:rFonts w:cstheme="minorHAnsi"/>
                <w:sz w:val="20"/>
                <w:szCs w:val="20"/>
                <w:lang w:val="fr-FR"/>
              </w:rPr>
            </w:pPr>
            <w:hyperlink r:id="rId17" w:history="1">
              <w:r w:rsidR="00A63B61" w:rsidRPr="00CC1DA8">
                <w:rPr>
                  <w:rStyle w:val="Hyperlink"/>
                  <w:rFonts w:cstheme="minorHAnsi"/>
                  <w:sz w:val="20"/>
                  <w:szCs w:val="20"/>
                  <w:lang w:val="fr-FR"/>
                </w:rPr>
                <w:t>Localisation da</w:t>
              </w:r>
              <w:r w:rsidR="003A0DB7" w:rsidRPr="00CC1DA8">
                <w:rPr>
                  <w:rStyle w:val="Hyperlink"/>
                  <w:rFonts w:cstheme="minorHAnsi"/>
                  <w:sz w:val="20"/>
                  <w:szCs w:val="20"/>
                  <w:lang w:val="fr-FR"/>
                </w:rPr>
                <w:t>n</w:t>
              </w:r>
              <w:r w:rsidR="00A63B61" w:rsidRPr="00CC1DA8">
                <w:rPr>
                  <w:rStyle w:val="Hyperlink"/>
                  <w:rFonts w:cstheme="minorHAnsi"/>
                  <w:sz w:val="20"/>
                  <w:szCs w:val="20"/>
                  <w:lang w:val="fr-FR"/>
                </w:rPr>
                <w:t>s la</w:t>
              </w:r>
              <w:r w:rsidR="003A0DB7" w:rsidRPr="00CC1DA8">
                <w:rPr>
                  <w:rStyle w:val="Hyperlink"/>
                  <w:rFonts w:cstheme="minorHAnsi"/>
                  <w:sz w:val="20"/>
                  <w:szCs w:val="20"/>
                  <w:lang w:val="fr-FR"/>
                </w:rPr>
                <w:t xml:space="preserve"> Coordination</w:t>
              </w:r>
            </w:hyperlink>
            <w:r w:rsidR="003A0DB7" w:rsidRPr="00CC1DA8">
              <w:rPr>
                <w:rFonts w:cstheme="minorHAnsi"/>
                <w:sz w:val="20"/>
                <w:szCs w:val="20"/>
                <w:lang w:val="fr-FR"/>
              </w:rPr>
              <w:t xml:space="preserve"> </w:t>
            </w:r>
            <w:r w:rsidR="00A63B61" w:rsidRPr="00CC1DA8">
              <w:rPr>
                <w:rFonts w:cstheme="minorHAnsi"/>
                <w:b/>
                <w:bCs/>
                <w:sz w:val="20"/>
                <w:szCs w:val="20"/>
                <w:lang w:val="fr-FR"/>
              </w:rPr>
              <w:t>(GPC et</w:t>
            </w:r>
            <w:r w:rsidR="003A0DB7" w:rsidRPr="00CC1DA8">
              <w:rPr>
                <w:rFonts w:cstheme="minorHAnsi"/>
                <w:b/>
                <w:bCs/>
                <w:sz w:val="20"/>
                <w:szCs w:val="20"/>
                <w:lang w:val="fr-FR"/>
              </w:rPr>
              <w:t xml:space="preserve"> GEC)</w:t>
            </w:r>
          </w:p>
        </w:tc>
        <w:tc>
          <w:tcPr>
            <w:tcW w:w="5245" w:type="dxa"/>
          </w:tcPr>
          <w:p w14:paraId="36A45D23" w14:textId="586EA636" w:rsidR="00A54BD9" w:rsidRPr="00CC1DA8" w:rsidRDefault="00B84646" w:rsidP="00B84646">
            <w:pPr>
              <w:pStyle w:val="ListParagraph"/>
              <w:numPr>
                <w:ilvl w:val="0"/>
                <w:numId w:val="21"/>
              </w:numPr>
              <w:spacing w:before="40"/>
              <w:rPr>
                <w:rFonts w:cstheme="minorHAnsi"/>
                <w:sz w:val="20"/>
                <w:szCs w:val="20"/>
                <w:lang w:val="fr-FR"/>
              </w:rPr>
            </w:pPr>
            <w:r w:rsidRPr="00CC1DA8">
              <w:rPr>
                <w:rFonts w:cstheme="minorHAnsi"/>
                <w:sz w:val="20"/>
                <w:szCs w:val="20"/>
                <w:lang w:val="fr-FR"/>
              </w:rPr>
              <w:t xml:space="preserve">Exemple de directives en matière d’établissement de rapports pour les activités communes et complémentaires </w:t>
            </w:r>
            <w:r w:rsidR="00D51EE4" w:rsidRPr="00CC1DA8">
              <w:rPr>
                <w:rFonts w:cstheme="minorHAnsi"/>
                <w:sz w:val="20"/>
                <w:szCs w:val="20"/>
                <w:lang w:val="fr-FR"/>
              </w:rPr>
              <w:t>(</w:t>
            </w:r>
            <w:hyperlink r:id="rId18" w:history="1">
              <w:r w:rsidR="00D51EE4" w:rsidRPr="00CC1DA8">
                <w:rPr>
                  <w:rStyle w:val="Hyperlink"/>
                  <w:rFonts w:cstheme="minorHAnsi"/>
                  <w:sz w:val="20"/>
                  <w:szCs w:val="20"/>
                  <w:lang w:val="fr-FR"/>
                </w:rPr>
                <w:t>Annex</w:t>
              </w:r>
              <w:r w:rsidRPr="00CC1DA8">
                <w:rPr>
                  <w:rStyle w:val="Hyperlink"/>
                  <w:rFonts w:cstheme="minorHAnsi"/>
                  <w:sz w:val="20"/>
                  <w:szCs w:val="20"/>
                  <w:lang w:val="fr-FR"/>
                </w:rPr>
                <w:t>e</w:t>
              </w:r>
              <w:r w:rsidR="00D51EE4" w:rsidRPr="00CC1DA8">
                <w:rPr>
                  <w:rStyle w:val="Hyperlink"/>
                  <w:rFonts w:cstheme="minorHAnsi"/>
                  <w:sz w:val="20"/>
                  <w:szCs w:val="20"/>
                  <w:lang w:val="fr-FR"/>
                </w:rPr>
                <w:t xml:space="preserve"> 13</w:t>
              </w:r>
            </w:hyperlink>
            <w:r w:rsidR="00D51EE4" w:rsidRPr="00CC1DA8">
              <w:rPr>
                <w:rFonts w:cstheme="minorHAnsi"/>
                <w:sz w:val="20"/>
                <w:szCs w:val="20"/>
                <w:lang w:val="fr-FR"/>
              </w:rPr>
              <w:t>)</w:t>
            </w:r>
            <w:r w:rsidR="00A54BD9" w:rsidRPr="00CC1DA8">
              <w:rPr>
                <w:rFonts w:cstheme="minorHAnsi"/>
                <w:sz w:val="20"/>
                <w:szCs w:val="20"/>
                <w:lang w:val="fr-FR"/>
              </w:rPr>
              <w:t xml:space="preserve"> </w:t>
            </w:r>
          </w:p>
          <w:p w14:paraId="57618946" w14:textId="43C7D26D" w:rsidR="00D51EE4" w:rsidRPr="00CC1DA8" w:rsidRDefault="00B84646" w:rsidP="00B84646">
            <w:pPr>
              <w:pStyle w:val="ListParagraph"/>
              <w:numPr>
                <w:ilvl w:val="0"/>
                <w:numId w:val="21"/>
              </w:numPr>
              <w:spacing w:before="40"/>
              <w:rPr>
                <w:rFonts w:cstheme="minorHAnsi"/>
                <w:sz w:val="20"/>
                <w:szCs w:val="20"/>
                <w:lang w:val="fr-FR"/>
              </w:rPr>
            </w:pPr>
            <w:r w:rsidRPr="00CC1DA8">
              <w:rPr>
                <w:rFonts w:cstheme="minorHAnsi"/>
                <w:sz w:val="20"/>
                <w:szCs w:val="20"/>
                <w:lang w:val="fr-FR"/>
              </w:rPr>
              <w:t xml:space="preserve">Conseils pour la mise en place d’un mécanisme de Redevabilité </w:t>
            </w:r>
            <w:r w:rsidR="009D5776" w:rsidRPr="00CC1DA8">
              <w:rPr>
                <w:rFonts w:cstheme="minorHAnsi"/>
                <w:sz w:val="20"/>
                <w:szCs w:val="20"/>
                <w:lang w:val="fr-FR"/>
              </w:rPr>
              <w:t>envers les Populations Touchées</w:t>
            </w:r>
            <w:r w:rsidRPr="00CC1DA8">
              <w:rPr>
                <w:rFonts w:cstheme="minorHAnsi"/>
                <w:sz w:val="20"/>
                <w:szCs w:val="20"/>
                <w:lang w:val="fr-FR"/>
              </w:rPr>
              <w:t xml:space="preserve"> en mettant l’accent sur l’inclusion des voix des enfants dans les écoles et en dehors des écoles - </w:t>
            </w:r>
            <w:r w:rsidRPr="00CC1DA8">
              <w:rPr>
                <w:rFonts w:cstheme="minorHAnsi"/>
                <w:b/>
                <w:sz w:val="20"/>
                <w:szCs w:val="20"/>
                <w:lang w:val="fr-FR"/>
              </w:rPr>
              <w:t>Ressources sur la participation des enfants</w:t>
            </w:r>
            <w:r w:rsidR="00D51EE4" w:rsidRPr="00CC1DA8">
              <w:rPr>
                <w:rFonts w:cstheme="minorHAnsi"/>
                <w:sz w:val="20"/>
                <w:szCs w:val="20"/>
                <w:lang w:val="fr-FR"/>
              </w:rPr>
              <w:t xml:space="preserve"> (</w:t>
            </w:r>
            <w:hyperlink r:id="rId19" w:history="1">
              <w:r w:rsidR="00D51EE4" w:rsidRPr="00CC1DA8">
                <w:rPr>
                  <w:rStyle w:val="Hyperlink"/>
                  <w:rFonts w:cstheme="minorHAnsi"/>
                  <w:sz w:val="20"/>
                  <w:szCs w:val="20"/>
                  <w:lang w:val="fr-FR"/>
                </w:rPr>
                <w:t>Annex</w:t>
              </w:r>
              <w:r w:rsidRPr="00CC1DA8">
                <w:rPr>
                  <w:rStyle w:val="Hyperlink"/>
                  <w:rFonts w:cstheme="minorHAnsi"/>
                  <w:sz w:val="20"/>
                  <w:szCs w:val="20"/>
                  <w:lang w:val="fr-FR"/>
                </w:rPr>
                <w:t>e</w:t>
              </w:r>
              <w:r w:rsidR="00D51EE4" w:rsidRPr="00CC1DA8">
                <w:rPr>
                  <w:rStyle w:val="Hyperlink"/>
                  <w:rFonts w:cstheme="minorHAnsi"/>
                  <w:sz w:val="20"/>
                  <w:szCs w:val="20"/>
                  <w:lang w:val="fr-FR"/>
                </w:rPr>
                <w:t xml:space="preserve"> 15</w:t>
              </w:r>
            </w:hyperlink>
            <w:r w:rsidR="00D51EE4" w:rsidRPr="00CC1DA8">
              <w:rPr>
                <w:rFonts w:cstheme="minorHAnsi"/>
                <w:sz w:val="20"/>
                <w:szCs w:val="20"/>
                <w:lang w:val="fr-FR"/>
              </w:rPr>
              <w:t>)</w:t>
            </w:r>
          </w:p>
          <w:p w14:paraId="2C0EB00C" w14:textId="25569FF8" w:rsidR="006526F4" w:rsidRPr="00CC1DA8" w:rsidRDefault="00B92854" w:rsidP="00B84646">
            <w:pPr>
              <w:pStyle w:val="ListParagraph"/>
              <w:numPr>
                <w:ilvl w:val="0"/>
                <w:numId w:val="21"/>
              </w:numPr>
              <w:spacing w:before="40"/>
              <w:rPr>
                <w:rFonts w:cstheme="minorHAnsi"/>
                <w:sz w:val="20"/>
                <w:szCs w:val="20"/>
                <w:lang w:val="fr-FR"/>
              </w:rPr>
            </w:pPr>
            <w:r w:rsidRPr="00CC1DA8">
              <w:rPr>
                <w:rFonts w:eastAsia="Times New Roman"/>
                <w:sz w:val="20"/>
                <w:szCs w:val="20"/>
                <w:lang w:val="fr-FR"/>
              </w:rPr>
              <w:t>Pour les considérations liées au</w:t>
            </w:r>
            <w:r w:rsidR="00B84646" w:rsidRPr="00CC1DA8">
              <w:rPr>
                <w:rFonts w:eastAsia="Times New Roman"/>
                <w:sz w:val="20"/>
                <w:szCs w:val="20"/>
                <w:lang w:val="fr-FR"/>
              </w:rPr>
              <w:t xml:space="preserve"> genre dans le suivi et l’évaluation, voir</w:t>
            </w:r>
            <w:r w:rsidR="00B84646" w:rsidRPr="00CC1DA8">
              <w:rPr>
                <w:rFonts w:eastAsia="Times New Roman"/>
                <w:sz w:val="20"/>
                <w:szCs w:val="20"/>
                <w:u w:val="single"/>
                <w:lang w:val="fr-FR"/>
              </w:rPr>
              <w:t xml:space="preserve"> </w:t>
            </w:r>
            <w:r w:rsidR="00B84646" w:rsidRPr="00CC1DA8">
              <w:rPr>
                <w:rFonts w:eastAsia="Times New Roman"/>
                <w:color w:val="4472C4" w:themeColor="accent1"/>
                <w:sz w:val="20"/>
                <w:szCs w:val="20"/>
                <w:u w:val="single"/>
                <w:lang w:val="fr-FR"/>
              </w:rPr>
              <w:t xml:space="preserve">la note d’orientation de l’INEE sur le genre </w:t>
            </w:r>
            <w:r w:rsidR="00B84646" w:rsidRPr="00CC1DA8">
              <w:rPr>
                <w:rFonts w:eastAsia="Times New Roman"/>
                <w:sz w:val="20"/>
                <w:szCs w:val="20"/>
                <w:lang w:val="fr-FR"/>
              </w:rPr>
              <w:t>(2019) St</w:t>
            </w:r>
            <w:r w:rsidRPr="00CC1DA8">
              <w:rPr>
                <w:rFonts w:eastAsia="Times New Roman"/>
                <w:sz w:val="20"/>
                <w:szCs w:val="20"/>
                <w:lang w:val="fr-FR"/>
              </w:rPr>
              <w:t>ratégies pour le suivi qui tient compte du</w:t>
            </w:r>
            <w:r w:rsidR="00B84646" w:rsidRPr="00CC1DA8">
              <w:rPr>
                <w:rFonts w:eastAsia="Times New Roman"/>
                <w:sz w:val="20"/>
                <w:szCs w:val="20"/>
                <w:lang w:val="fr-FR"/>
              </w:rPr>
              <w:t xml:space="preserve"> genre, et l’évaluation p. 42-47      </w:t>
            </w:r>
          </w:p>
        </w:tc>
      </w:tr>
    </w:tbl>
    <w:p w14:paraId="5FEF296B" w14:textId="7681D302" w:rsidR="00B0524B" w:rsidRPr="00B84646" w:rsidRDefault="00B0524B" w:rsidP="00CC1DA8">
      <w:pPr>
        <w:jc w:val="both"/>
        <w:rPr>
          <w:sz w:val="20"/>
          <w:szCs w:val="20"/>
          <w:lang w:val="fr-FR"/>
        </w:rPr>
      </w:pPr>
    </w:p>
    <w:sectPr w:rsidR="00B0524B" w:rsidRPr="00B84646" w:rsidSect="00CC1DA8">
      <w:headerReference w:type="default" r:id="rId20"/>
      <w:pgSz w:w="15840" w:h="12240" w:orient="landscape"/>
      <w:pgMar w:top="1135" w:right="1239" w:bottom="568"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C0D35" w14:textId="77777777" w:rsidR="000949F8" w:rsidRDefault="000949F8" w:rsidP="004D291C">
      <w:pPr>
        <w:spacing w:after="0" w:line="240" w:lineRule="auto"/>
      </w:pPr>
      <w:r>
        <w:separator/>
      </w:r>
    </w:p>
  </w:endnote>
  <w:endnote w:type="continuationSeparator" w:id="0">
    <w:p w14:paraId="206B49C7" w14:textId="77777777" w:rsidR="000949F8" w:rsidRDefault="000949F8"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75517" w14:textId="77777777" w:rsidR="000949F8" w:rsidRDefault="000949F8" w:rsidP="004D291C">
      <w:pPr>
        <w:spacing w:after="0" w:line="240" w:lineRule="auto"/>
      </w:pPr>
      <w:r>
        <w:separator/>
      </w:r>
    </w:p>
  </w:footnote>
  <w:footnote w:type="continuationSeparator" w:id="0">
    <w:p w14:paraId="687B14A9" w14:textId="77777777" w:rsidR="000949F8" w:rsidRDefault="000949F8"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C72A7" w14:textId="2ACCDD2F" w:rsidR="00CD5E03" w:rsidRPr="00FB1E1C" w:rsidRDefault="000949F8" w:rsidP="00FB1E1C">
    <w:pPr>
      <w:jc w:val="center"/>
      <w:rPr>
        <w:color w:val="0563C1" w:themeColor="hyperlink"/>
        <w:sz w:val="28"/>
        <w:szCs w:val="28"/>
        <w:u w:val="single"/>
        <w:lang w:val="fr-FR"/>
      </w:rPr>
    </w:pPr>
    <w:hyperlink r:id="rId1" w:history="1">
      <w:r w:rsidR="00FB1E1C">
        <w:rPr>
          <w:rStyle w:val="Hyperlink"/>
          <w:sz w:val="28"/>
          <w:szCs w:val="28"/>
          <w:lang w:val="fr-FR"/>
        </w:rPr>
        <w:t>P</w:t>
      </w:r>
      <w:r w:rsidR="00FB1E1C" w:rsidRPr="00FB1E1C">
        <w:rPr>
          <w:rStyle w:val="Hyperlink"/>
          <w:sz w:val="28"/>
          <w:szCs w:val="28"/>
          <w:lang w:val="fr-FR"/>
        </w:rPr>
        <w:t>ackage</w:t>
      </w:r>
    </w:hyperlink>
    <w:r w:rsidR="00FB1E1C" w:rsidRPr="00FB1E1C">
      <w:rPr>
        <w:rStyle w:val="Hyperlink"/>
        <w:sz w:val="28"/>
        <w:szCs w:val="28"/>
        <w:lang w:val="fr-FR"/>
      </w:rPr>
      <w:t xml:space="preserve"> </w:t>
    </w:r>
    <w:r w:rsidR="00FB1E1C">
      <w:rPr>
        <w:sz w:val="28"/>
        <w:szCs w:val="28"/>
        <w:u w:val="single"/>
        <w:lang w:val="fr-FR"/>
      </w:rPr>
      <w:t xml:space="preserve">du </w:t>
    </w:r>
    <w:r w:rsidR="00FB1E1C" w:rsidRPr="00D542DE">
      <w:rPr>
        <w:sz w:val="28"/>
        <w:szCs w:val="28"/>
        <w:u w:val="single"/>
        <w:lang w:val="fr-FR"/>
      </w:rPr>
      <w:t xml:space="preserve">Cadre de Collaboration CP-EiE </w:t>
    </w:r>
    <w:r w:rsidR="00231611" w:rsidRPr="00BB34F7">
      <w:rPr>
        <w:noProof/>
        <w:sz w:val="28"/>
        <w:szCs w:val="28"/>
        <w:u w:val="single"/>
        <w:lang w:val="fr-FR" w:eastAsia="fr-FR"/>
      </w:rPr>
      <w:drawing>
        <wp:anchor distT="0" distB="0" distL="114300" distR="114300" simplePos="0" relativeHeight="251659264" behindDoc="0" locked="0" layoutInCell="1" allowOverlap="1" wp14:anchorId="08627414" wp14:editId="440BDD8F">
          <wp:simplePos x="0" y="0"/>
          <wp:positionH relativeFrom="column">
            <wp:posOffset>8126095</wp:posOffset>
          </wp:positionH>
          <wp:positionV relativeFrom="paragraph">
            <wp:posOffset>11430</wp:posOffset>
          </wp:positionV>
          <wp:extent cx="735330" cy="266065"/>
          <wp:effectExtent l="0" t="0" r="7620" b="635"/>
          <wp:wrapNone/>
          <wp:docPr id="5"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00231611" w:rsidRPr="00BB34F7">
      <w:rPr>
        <w:noProof/>
        <w:sz w:val="28"/>
        <w:szCs w:val="28"/>
        <w:u w:val="single"/>
        <w:lang w:val="fr-FR" w:eastAsia="fr-FR"/>
      </w:rPr>
      <w:drawing>
        <wp:anchor distT="0" distB="0" distL="114300" distR="114300" simplePos="0" relativeHeight="251660288" behindDoc="0" locked="0" layoutInCell="1" allowOverlap="1" wp14:anchorId="163F9CEE" wp14:editId="2174121B">
          <wp:simplePos x="0" y="0"/>
          <wp:positionH relativeFrom="column">
            <wp:posOffset>7346315</wp:posOffset>
          </wp:positionH>
          <wp:positionV relativeFrom="paragraph">
            <wp:posOffset>-132715</wp:posOffset>
          </wp:positionV>
          <wp:extent cx="707390" cy="472440"/>
          <wp:effectExtent l="0" t="0" r="0" b="381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C9D"/>
    <w:multiLevelType w:val="multilevel"/>
    <w:tmpl w:val="2C52B85A"/>
    <w:lvl w:ilvl="0">
      <w:start w:val="2"/>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0A56036"/>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614F5"/>
    <w:multiLevelType w:val="hybridMultilevel"/>
    <w:tmpl w:val="67AA6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B034B2"/>
    <w:multiLevelType w:val="hybridMultilevel"/>
    <w:tmpl w:val="903E40D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42708"/>
    <w:multiLevelType w:val="hybridMultilevel"/>
    <w:tmpl w:val="42E6E2F6"/>
    <w:lvl w:ilvl="0" w:tplc="BC4078E4">
      <w:start w:val="1"/>
      <w:numFmt w:val="decimal"/>
      <w:lvlText w:val="%1."/>
      <w:lvlJc w:val="left"/>
      <w:pPr>
        <w:ind w:left="720" w:hanging="360"/>
      </w:pPr>
    </w:lvl>
    <w:lvl w:ilvl="1" w:tplc="52F4D516">
      <w:start w:val="1"/>
      <w:numFmt w:val="lowerLetter"/>
      <w:lvlText w:val="%2."/>
      <w:lvlJc w:val="left"/>
      <w:pPr>
        <w:ind w:left="1440" w:hanging="360"/>
      </w:pPr>
    </w:lvl>
    <w:lvl w:ilvl="2" w:tplc="5A7CD6E6">
      <w:start w:val="1"/>
      <w:numFmt w:val="lowerRoman"/>
      <w:lvlText w:val="%3."/>
      <w:lvlJc w:val="right"/>
      <w:pPr>
        <w:ind w:left="2160" w:hanging="180"/>
      </w:pPr>
    </w:lvl>
    <w:lvl w:ilvl="3" w:tplc="F662A432">
      <w:start w:val="1"/>
      <w:numFmt w:val="decimal"/>
      <w:lvlText w:val="%4."/>
      <w:lvlJc w:val="left"/>
      <w:pPr>
        <w:ind w:left="2880" w:hanging="360"/>
      </w:pPr>
    </w:lvl>
    <w:lvl w:ilvl="4" w:tplc="C09E2120">
      <w:start w:val="1"/>
      <w:numFmt w:val="lowerLetter"/>
      <w:lvlText w:val="%5."/>
      <w:lvlJc w:val="left"/>
      <w:pPr>
        <w:ind w:left="3600" w:hanging="360"/>
      </w:pPr>
    </w:lvl>
    <w:lvl w:ilvl="5" w:tplc="3E524376">
      <w:start w:val="1"/>
      <w:numFmt w:val="lowerRoman"/>
      <w:lvlText w:val="%6."/>
      <w:lvlJc w:val="right"/>
      <w:pPr>
        <w:ind w:left="4320" w:hanging="180"/>
      </w:pPr>
    </w:lvl>
    <w:lvl w:ilvl="6" w:tplc="58CE4802">
      <w:start w:val="1"/>
      <w:numFmt w:val="decimal"/>
      <w:lvlText w:val="%7."/>
      <w:lvlJc w:val="left"/>
      <w:pPr>
        <w:ind w:left="5040" w:hanging="360"/>
      </w:pPr>
    </w:lvl>
    <w:lvl w:ilvl="7" w:tplc="01EC1958">
      <w:start w:val="1"/>
      <w:numFmt w:val="lowerLetter"/>
      <w:lvlText w:val="%8."/>
      <w:lvlJc w:val="left"/>
      <w:pPr>
        <w:ind w:left="5760" w:hanging="360"/>
      </w:pPr>
    </w:lvl>
    <w:lvl w:ilvl="8" w:tplc="A5B47FDA">
      <w:start w:val="1"/>
      <w:numFmt w:val="lowerRoman"/>
      <w:lvlText w:val="%9."/>
      <w:lvlJc w:val="right"/>
      <w:pPr>
        <w:ind w:left="6480" w:hanging="180"/>
      </w:pPr>
    </w:lvl>
  </w:abstractNum>
  <w:abstractNum w:abstractNumId="12" w15:restartNumberingAfterBreak="0">
    <w:nsid w:val="3AF16628"/>
    <w:multiLevelType w:val="hybridMultilevel"/>
    <w:tmpl w:val="893A01EC"/>
    <w:lvl w:ilvl="0" w:tplc="B4943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0E07B3"/>
    <w:multiLevelType w:val="hybridMultilevel"/>
    <w:tmpl w:val="3140EA0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D15B35"/>
    <w:multiLevelType w:val="hybridMultilevel"/>
    <w:tmpl w:val="B1801C0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9"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C107B0"/>
    <w:multiLevelType w:val="hybridMultilevel"/>
    <w:tmpl w:val="3404F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24"/>
  </w:num>
  <w:num w:numId="5">
    <w:abstractNumId w:val="9"/>
  </w:num>
  <w:num w:numId="6">
    <w:abstractNumId w:val="20"/>
  </w:num>
  <w:num w:numId="7">
    <w:abstractNumId w:val="15"/>
  </w:num>
  <w:num w:numId="8">
    <w:abstractNumId w:val="4"/>
  </w:num>
  <w:num w:numId="9">
    <w:abstractNumId w:val="19"/>
  </w:num>
  <w:num w:numId="10">
    <w:abstractNumId w:val="21"/>
  </w:num>
  <w:num w:numId="11">
    <w:abstractNumId w:val="7"/>
  </w:num>
  <w:num w:numId="12">
    <w:abstractNumId w:val="2"/>
  </w:num>
  <w:num w:numId="13">
    <w:abstractNumId w:val="22"/>
  </w:num>
  <w:num w:numId="14">
    <w:abstractNumId w:val="13"/>
  </w:num>
  <w:num w:numId="15">
    <w:abstractNumId w:val="17"/>
  </w:num>
  <w:num w:numId="16">
    <w:abstractNumId w:val="6"/>
  </w:num>
  <w:num w:numId="17">
    <w:abstractNumId w:val="16"/>
  </w:num>
  <w:num w:numId="18">
    <w:abstractNumId w:val="0"/>
  </w:num>
  <w:num w:numId="19">
    <w:abstractNumId w:val="18"/>
  </w:num>
  <w:num w:numId="20">
    <w:abstractNumId w:val="1"/>
  </w:num>
  <w:num w:numId="21">
    <w:abstractNumId w:val="23"/>
  </w:num>
  <w:num w:numId="22">
    <w:abstractNumId w:val="1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11D71"/>
    <w:rsid w:val="0001289B"/>
    <w:rsid w:val="00012BFE"/>
    <w:rsid w:val="0001519E"/>
    <w:rsid w:val="00022B17"/>
    <w:rsid w:val="000244F4"/>
    <w:rsid w:val="00025716"/>
    <w:rsid w:val="00033951"/>
    <w:rsid w:val="00036301"/>
    <w:rsid w:val="000418ED"/>
    <w:rsid w:val="00041A65"/>
    <w:rsid w:val="00041E67"/>
    <w:rsid w:val="00045EEC"/>
    <w:rsid w:val="00050997"/>
    <w:rsid w:val="00051154"/>
    <w:rsid w:val="00056FDA"/>
    <w:rsid w:val="00057DCB"/>
    <w:rsid w:val="00061E8A"/>
    <w:rsid w:val="00062C1C"/>
    <w:rsid w:val="0006684F"/>
    <w:rsid w:val="00067196"/>
    <w:rsid w:val="000673F8"/>
    <w:rsid w:val="000707DF"/>
    <w:rsid w:val="000779D8"/>
    <w:rsid w:val="00082011"/>
    <w:rsid w:val="00087B42"/>
    <w:rsid w:val="0009006D"/>
    <w:rsid w:val="000949F8"/>
    <w:rsid w:val="000A1FD1"/>
    <w:rsid w:val="000A5B51"/>
    <w:rsid w:val="000A7EA9"/>
    <w:rsid w:val="000B161C"/>
    <w:rsid w:val="000B47A3"/>
    <w:rsid w:val="000B4EAA"/>
    <w:rsid w:val="000C681F"/>
    <w:rsid w:val="000C7076"/>
    <w:rsid w:val="000D18AF"/>
    <w:rsid w:val="000D3CB3"/>
    <w:rsid w:val="000D459D"/>
    <w:rsid w:val="000D677B"/>
    <w:rsid w:val="000D7537"/>
    <w:rsid w:val="000E2813"/>
    <w:rsid w:val="000E73B2"/>
    <w:rsid w:val="000F0513"/>
    <w:rsid w:val="000F1BD0"/>
    <w:rsid w:val="000F1D4C"/>
    <w:rsid w:val="000F4B67"/>
    <w:rsid w:val="000F7693"/>
    <w:rsid w:val="00102D37"/>
    <w:rsid w:val="00106158"/>
    <w:rsid w:val="001116BE"/>
    <w:rsid w:val="00113195"/>
    <w:rsid w:val="00114737"/>
    <w:rsid w:val="00122DF5"/>
    <w:rsid w:val="00132128"/>
    <w:rsid w:val="00135FBE"/>
    <w:rsid w:val="001410A4"/>
    <w:rsid w:val="00141530"/>
    <w:rsid w:val="0014219F"/>
    <w:rsid w:val="001505EA"/>
    <w:rsid w:val="0016174F"/>
    <w:rsid w:val="00164D0C"/>
    <w:rsid w:val="001671A4"/>
    <w:rsid w:val="001711FB"/>
    <w:rsid w:val="00173975"/>
    <w:rsid w:val="00175636"/>
    <w:rsid w:val="001815CE"/>
    <w:rsid w:val="00184224"/>
    <w:rsid w:val="00190D2B"/>
    <w:rsid w:val="00192A64"/>
    <w:rsid w:val="0019309F"/>
    <w:rsid w:val="001937B0"/>
    <w:rsid w:val="00196D04"/>
    <w:rsid w:val="001A3DCB"/>
    <w:rsid w:val="001A79B2"/>
    <w:rsid w:val="001B0597"/>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4CB"/>
    <w:rsid w:val="00215ABA"/>
    <w:rsid w:val="00216061"/>
    <w:rsid w:val="002218C1"/>
    <w:rsid w:val="00223E3E"/>
    <w:rsid w:val="00224356"/>
    <w:rsid w:val="00224850"/>
    <w:rsid w:val="00231611"/>
    <w:rsid w:val="002346AD"/>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92524"/>
    <w:rsid w:val="00292F07"/>
    <w:rsid w:val="002950E2"/>
    <w:rsid w:val="002A1919"/>
    <w:rsid w:val="002A1AEF"/>
    <w:rsid w:val="002A3296"/>
    <w:rsid w:val="002A41B2"/>
    <w:rsid w:val="002A49A2"/>
    <w:rsid w:val="002A5044"/>
    <w:rsid w:val="002A60C7"/>
    <w:rsid w:val="002B00A0"/>
    <w:rsid w:val="002B0D60"/>
    <w:rsid w:val="002B6750"/>
    <w:rsid w:val="002C008E"/>
    <w:rsid w:val="002C16E2"/>
    <w:rsid w:val="002C237F"/>
    <w:rsid w:val="002C321F"/>
    <w:rsid w:val="002C5F59"/>
    <w:rsid w:val="002C6D9D"/>
    <w:rsid w:val="002D1D87"/>
    <w:rsid w:val="002E38A0"/>
    <w:rsid w:val="002E4E76"/>
    <w:rsid w:val="002F056D"/>
    <w:rsid w:val="002F0B5E"/>
    <w:rsid w:val="002F0F3E"/>
    <w:rsid w:val="002F323D"/>
    <w:rsid w:val="002F651F"/>
    <w:rsid w:val="003003DC"/>
    <w:rsid w:val="00303371"/>
    <w:rsid w:val="003040F4"/>
    <w:rsid w:val="00307D01"/>
    <w:rsid w:val="00321B19"/>
    <w:rsid w:val="00324300"/>
    <w:rsid w:val="00324F1B"/>
    <w:rsid w:val="00335FBF"/>
    <w:rsid w:val="00337728"/>
    <w:rsid w:val="00340288"/>
    <w:rsid w:val="00342D7E"/>
    <w:rsid w:val="0034437D"/>
    <w:rsid w:val="0034666C"/>
    <w:rsid w:val="0035024E"/>
    <w:rsid w:val="00350F5F"/>
    <w:rsid w:val="00355648"/>
    <w:rsid w:val="00355834"/>
    <w:rsid w:val="003723E1"/>
    <w:rsid w:val="00372DEB"/>
    <w:rsid w:val="0037509F"/>
    <w:rsid w:val="003800E2"/>
    <w:rsid w:val="003806EF"/>
    <w:rsid w:val="00380DD2"/>
    <w:rsid w:val="003814DE"/>
    <w:rsid w:val="0038181B"/>
    <w:rsid w:val="00382596"/>
    <w:rsid w:val="00382667"/>
    <w:rsid w:val="00383CEC"/>
    <w:rsid w:val="00393660"/>
    <w:rsid w:val="003938B5"/>
    <w:rsid w:val="003A0DB7"/>
    <w:rsid w:val="003A414A"/>
    <w:rsid w:val="003A5AA5"/>
    <w:rsid w:val="003B2AF3"/>
    <w:rsid w:val="003B6381"/>
    <w:rsid w:val="003B7079"/>
    <w:rsid w:val="003C094B"/>
    <w:rsid w:val="003C77EC"/>
    <w:rsid w:val="003D5295"/>
    <w:rsid w:val="003D5400"/>
    <w:rsid w:val="003E1CED"/>
    <w:rsid w:val="003E6625"/>
    <w:rsid w:val="003F2478"/>
    <w:rsid w:val="003F2F47"/>
    <w:rsid w:val="003F5E97"/>
    <w:rsid w:val="00400276"/>
    <w:rsid w:val="0040071B"/>
    <w:rsid w:val="0040124B"/>
    <w:rsid w:val="0040225F"/>
    <w:rsid w:val="00406B0E"/>
    <w:rsid w:val="004101CB"/>
    <w:rsid w:val="004123F5"/>
    <w:rsid w:val="00414ADA"/>
    <w:rsid w:val="004259DB"/>
    <w:rsid w:val="00426D43"/>
    <w:rsid w:val="00431084"/>
    <w:rsid w:val="004320F6"/>
    <w:rsid w:val="004332F4"/>
    <w:rsid w:val="00435EEA"/>
    <w:rsid w:val="0043631D"/>
    <w:rsid w:val="00445040"/>
    <w:rsid w:val="00445746"/>
    <w:rsid w:val="00446BF3"/>
    <w:rsid w:val="004509C3"/>
    <w:rsid w:val="00471001"/>
    <w:rsid w:val="00471FC8"/>
    <w:rsid w:val="00472E55"/>
    <w:rsid w:val="00477380"/>
    <w:rsid w:val="00480182"/>
    <w:rsid w:val="00482F57"/>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08CB"/>
    <w:rsid w:val="004E1B6E"/>
    <w:rsid w:val="004F0211"/>
    <w:rsid w:val="004F5C2E"/>
    <w:rsid w:val="005007E0"/>
    <w:rsid w:val="0050222D"/>
    <w:rsid w:val="005047C0"/>
    <w:rsid w:val="0050525A"/>
    <w:rsid w:val="00505DDE"/>
    <w:rsid w:val="00516DF4"/>
    <w:rsid w:val="005178D8"/>
    <w:rsid w:val="00523A5E"/>
    <w:rsid w:val="00523CAA"/>
    <w:rsid w:val="0052690D"/>
    <w:rsid w:val="00527DB5"/>
    <w:rsid w:val="00531B5B"/>
    <w:rsid w:val="00532059"/>
    <w:rsid w:val="00543561"/>
    <w:rsid w:val="00543F93"/>
    <w:rsid w:val="00546C3A"/>
    <w:rsid w:val="00551731"/>
    <w:rsid w:val="00551C0B"/>
    <w:rsid w:val="00554EAC"/>
    <w:rsid w:val="00561F4A"/>
    <w:rsid w:val="0057741F"/>
    <w:rsid w:val="00582ED7"/>
    <w:rsid w:val="005865BF"/>
    <w:rsid w:val="0059003F"/>
    <w:rsid w:val="0059094F"/>
    <w:rsid w:val="005946FD"/>
    <w:rsid w:val="00595E99"/>
    <w:rsid w:val="0059724D"/>
    <w:rsid w:val="005A05CD"/>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45E3"/>
    <w:rsid w:val="006071F7"/>
    <w:rsid w:val="00611F56"/>
    <w:rsid w:val="006133F5"/>
    <w:rsid w:val="00621488"/>
    <w:rsid w:val="00621E3F"/>
    <w:rsid w:val="00624B6F"/>
    <w:rsid w:val="00625624"/>
    <w:rsid w:val="00626408"/>
    <w:rsid w:val="006328B5"/>
    <w:rsid w:val="00636382"/>
    <w:rsid w:val="00637199"/>
    <w:rsid w:val="00640ACE"/>
    <w:rsid w:val="00640FDA"/>
    <w:rsid w:val="0064119E"/>
    <w:rsid w:val="00641236"/>
    <w:rsid w:val="00641380"/>
    <w:rsid w:val="00646F54"/>
    <w:rsid w:val="006516CC"/>
    <w:rsid w:val="00651C60"/>
    <w:rsid w:val="006526F4"/>
    <w:rsid w:val="00652EB7"/>
    <w:rsid w:val="00657C4E"/>
    <w:rsid w:val="00662413"/>
    <w:rsid w:val="0067419C"/>
    <w:rsid w:val="0067554B"/>
    <w:rsid w:val="00680B1B"/>
    <w:rsid w:val="0068446F"/>
    <w:rsid w:val="00686808"/>
    <w:rsid w:val="00687737"/>
    <w:rsid w:val="00687C6D"/>
    <w:rsid w:val="006926BE"/>
    <w:rsid w:val="00695370"/>
    <w:rsid w:val="00695C0F"/>
    <w:rsid w:val="006A0B0D"/>
    <w:rsid w:val="006A3B2D"/>
    <w:rsid w:val="006A6A2D"/>
    <w:rsid w:val="006B04E3"/>
    <w:rsid w:val="006B3F8D"/>
    <w:rsid w:val="006B74FC"/>
    <w:rsid w:val="006C234A"/>
    <w:rsid w:val="006D2EEA"/>
    <w:rsid w:val="006D341B"/>
    <w:rsid w:val="006E1179"/>
    <w:rsid w:val="006E1F48"/>
    <w:rsid w:val="006E4032"/>
    <w:rsid w:val="006E71BC"/>
    <w:rsid w:val="006F3929"/>
    <w:rsid w:val="00701291"/>
    <w:rsid w:val="00705291"/>
    <w:rsid w:val="00705B23"/>
    <w:rsid w:val="007076E7"/>
    <w:rsid w:val="00714D4A"/>
    <w:rsid w:val="00715B06"/>
    <w:rsid w:val="007170A6"/>
    <w:rsid w:val="00720817"/>
    <w:rsid w:val="0072189B"/>
    <w:rsid w:val="007236C3"/>
    <w:rsid w:val="00726FCA"/>
    <w:rsid w:val="007331EE"/>
    <w:rsid w:val="00744B91"/>
    <w:rsid w:val="00745B7E"/>
    <w:rsid w:val="00746ECB"/>
    <w:rsid w:val="00747885"/>
    <w:rsid w:val="007518E7"/>
    <w:rsid w:val="0075637A"/>
    <w:rsid w:val="00756BB3"/>
    <w:rsid w:val="00761D2C"/>
    <w:rsid w:val="0076300F"/>
    <w:rsid w:val="00763AB5"/>
    <w:rsid w:val="007647D9"/>
    <w:rsid w:val="007660A7"/>
    <w:rsid w:val="0076748A"/>
    <w:rsid w:val="00770AC4"/>
    <w:rsid w:val="00782558"/>
    <w:rsid w:val="00792D15"/>
    <w:rsid w:val="00795BD7"/>
    <w:rsid w:val="007A01AE"/>
    <w:rsid w:val="007A2463"/>
    <w:rsid w:val="007A3717"/>
    <w:rsid w:val="007B2120"/>
    <w:rsid w:val="007B29E1"/>
    <w:rsid w:val="007B3380"/>
    <w:rsid w:val="007B483E"/>
    <w:rsid w:val="007C5C9C"/>
    <w:rsid w:val="007C6330"/>
    <w:rsid w:val="007E1655"/>
    <w:rsid w:val="007E215C"/>
    <w:rsid w:val="007E7FAD"/>
    <w:rsid w:val="00805B7F"/>
    <w:rsid w:val="008079FE"/>
    <w:rsid w:val="008114E3"/>
    <w:rsid w:val="00811A26"/>
    <w:rsid w:val="0082194F"/>
    <w:rsid w:val="00834373"/>
    <w:rsid w:val="00835CF0"/>
    <w:rsid w:val="00836307"/>
    <w:rsid w:val="00836822"/>
    <w:rsid w:val="0084593E"/>
    <w:rsid w:val="0085165F"/>
    <w:rsid w:val="00851E2A"/>
    <w:rsid w:val="0086095D"/>
    <w:rsid w:val="00861788"/>
    <w:rsid w:val="008666B2"/>
    <w:rsid w:val="00866D81"/>
    <w:rsid w:val="00870BF1"/>
    <w:rsid w:val="0087725E"/>
    <w:rsid w:val="00880965"/>
    <w:rsid w:val="008828EB"/>
    <w:rsid w:val="008848F7"/>
    <w:rsid w:val="008978D3"/>
    <w:rsid w:val="008A4FDE"/>
    <w:rsid w:val="008A52AB"/>
    <w:rsid w:val="008B33A8"/>
    <w:rsid w:val="008B3D3E"/>
    <w:rsid w:val="008B52AE"/>
    <w:rsid w:val="008B7D8E"/>
    <w:rsid w:val="008C2E4B"/>
    <w:rsid w:val="008D3998"/>
    <w:rsid w:val="008D46B8"/>
    <w:rsid w:val="008D7384"/>
    <w:rsid w:val="008E0417"/>
    <w:rsid w:val="008E5CC1"/>
    <w:rsid w:val="008E7343"/>
    <w:rsid w:val="008F1001"/>
    <w:rsid w:val="008F16D5"/>
    <w:rsid w:val="00900699"/>
    <w:rsid w:val="00903262"/>
    <w:rsid w:val="00903368"/>
    <w:rsid w:val="00905C7E"/>
    <w:rsid w:val="009063A8"/>
    <w:rsid w:val="0090749B"/>
    <w:rsid w:val="00911016"/>
    <w:rsid w:val="00912DDE"/>
    <w:rsid w:val="009142EB"/>
    <w:rsid w:val="00914C4D"/>
    <w:rsid w:val="0091595B"/>
    <w:rsid w:val="00920741"/>
    <w:rsid w:val="0092263E"/>
    <w:rsid w:val="00925E04"/>
    <w:rsid w:val="00926FC2"/>
    <w:rsid w:val="00932773"/>
    <w:rsid w:val="00934212"/>
    <w:rsid w:val="00937122"/>
    <w:rsid w:val="009414BA"/>
    <w:rsid w:val="009417EF"/>
    <w:rsid w:val="00942936"/>
    <w:rsid w:val="0094504A"/>
    <w:rsid w:val="0094612D"/>
    <w:rsid w:val="009522CB"/>
    <w:rsid w:val="009578F1"/>
    <w:rsid w:val="009635F7"/>
    <w:rsid w:val="00965061"/>
    <w:rsid w:val="00966052"/>
    <w:rsid w:val="00966973"/>
    <w:rsid w:val="00967AC4"/>
    <w:rsid w:val="009779B4"/>
    <w:rsid w:val="00981CD9"/>
    <w:rsid w:val="00982F85"/>
    <w:rsid w:val="00992A75"/>
    <w:rsid w:val="0099365F"/>
    <w:rsid w:val="009A5E0F"/>
    <w:rsid w:val="009A64CA"/>
    <w:rsid w:val="009A66E3"/>
    <w:rsid w:val="009A6819"/>
    <w:rsid w:val="009B3B33"/>
    <w:rsid w:val="009C1D0A"/>
    <w:rsid w:val="009C3255"/>
    <w:rsid w:val="009C58C7"/>
    <w:rsid w:val="009C7903"/>
    <w:rsid w:val="009D2CCC"/>
    <w:rsid w:val="009D4FCA"/>
    <w:rsid w:val="009D5776"/>
    <w:rsid w:val="009D7A23"/>
    <w:rsid w:val="009E25F8"/>
    <w:rsid w:val="009E34E8"/>
    <w:rsid w:val="009E4483"/>
    <w:rsid w:val="009E62ED"/>
    <w:rsid w:val="009F1D87"/>
    <w:rsid w:val="009F2EA0"/>
    <w:rsid w:val="009F498C"/>
    <w:rsid w:val="009F5304"/>
    <w:rsid w:val="009F60BB"/>
    <w:rsid w:val="00A022D9"/>
    <w:rsid w:val="00A070B7"/>
    <w:rsid w:val="00A128B6"/>
    <w:rsid w:val="00A21626"/>
    <w:rsid w:val="00A241A2"/>
    <w:rsid w:val="00A25D2F"/>
    <w:rsid w:val="00A26CC0"/>
    <w:rsid w:val="00A340A7"/>
    <w:rsid w:val="00A347E7"/>
    <w:rsid w:val="00A35059"/>
    <w:rsid w:val="00A42F74"/>
    <w:rsid w:val="00A455D1"/>
    <w:rsid w:val="00A4583A"/>
    <w:rsid w:val="00A52FE0"/>
    <w:rsid w:val="00A5481F"/>
    <w:rsid w:val="00A54BD9"/>
    <w:rsid w:val="00A560FA"/>
    <w:rsid w:val="00A568A6"/>
    <w:rsid w:val="00A60490"/>
    <w:rsid w:val="00A605BB"/>
    <w:rsid w:val="00A62166"/>
    <w:rsid w:val="00A63B61"/>
    <w:rsid w:val="00A63FD5"/>
    <w:rsid w:val="00A64477"/>
    <w:rsid w:val="00A700FC"/>
    <w:rsid w:val="00A702F0"/>
    <w:rsid w:val="00A72DED"/>
    <w:rsid w:val="00A763EC"/>
    <w:rsid w:val="00A827B8"/>
    <w:rsid w:val="00A8443E"/>
    <w:rsid w:val="00A86B41"/>
    <w:rsid w:val="00A871FA"/>
    <w:rsid w:val="00A87968"/>
    <w:rsid w:val="00A92485"/>
    <w:rsid w:val="00A92FB4"/>
    <w:rsid w:val="00AA0CFB"/>
    <w:rsid w:val="00AA15C0"/>
    <w:rsid w:val="00AA784E"/>
    <w:rsid w:val="00AA7FBE"/>
    <w:rsid w:val="00AB17AC"/>
    <w:rsid w:val="00AB4F5E"/>
    <w:rsid w:val="00AC2BBB"/>
    <w:rsid w:val="00AC41F4"/>
    <w:rsid w:val="00AC5113"/>
    <w:rsid w:val="00AC5624"/>
    <w:rsid w:val="00AD32AE"/>
    <w:rsid w:val="00AD503E"/>
    <w:rsid w:val="00AD6080"/>
    <w:rsid w:val="00AD63CB"/>
    <w:rsid w:val="00AE0E1B"/>
    <w:rsid w:val="00AE1389"/>
    <w:rsid w:val="00AE465D"/>
    <w:rsid w:val="00AE6D29"/>
    <w:rsid w:val="00AF0686"/>
    <w:rsid w:val="00AF2A11"/>
    <w:rsid w:val="00AF47F0"/>
    <w:rsid w:val="00AF7C13"/>
    <w:rsid w:val="00B01A9C"/>
    <w:rsid w:val="00B01CAA"/>
    <w:rsid w:val="00B02543"/>
    <w:rsid w:val="00B0524B"/>
    <w:rsid w:val="00B062B6"/>
    <w:rsid w:val="00B110B2"/>
    <w:rsid w:val="00B14C29"/>
    <w:rsid w:val="00B15FFC"/>
    <w:rsid w:val="00B1757D"/>
    <w:rsid w:val="00B21BE3"/>
    <w:rsid w:val="00B247DC"/>
    <w:rsid w:val="00B277EE"/>
    <w:rsid w:val="00B279AD"/>
    <w:rsid w:val="00B32159"/>
    <w:rsid w:val="00B3721D"/>
    <w:rsid w:val="00B37F94"/>
    <w:rsid w:val="00B47B47"/>
    <w:rsid w:val="00B533B5"/>
    <w:rsid w:val="00B5756E"/>
    <w:rsid w:val="00B610F1"/>
    <w:rsid w:val="00B61F28"/>
    <w:rsid w:val="00B642A7"/>
    <w:rsid w:val="00B6598B"/>
    <w:rsid w:val="00B67370"/>
    <w:rsid w:val="00B72726"/>
    <w:rsid w:val="00B74790"/>
    <w:rsid w:val="00B75805"/>
    <w:rsid w:val="00B76F99"/>
    <w:rsid w:val="00B828DA"/>
    <w:rsid w:val="00B84646"/>
    <w:rsid w:val="00B91D90"/>
    <w:rsid w:val="00B91E6E"/>
    <w:rsid w:val="00B92854"/>
    <w:rsid w:val="00B94A43"/>
    <w:rsid w:val="00BA5F3F"/>
    <w:rsid w:val="00BB2951"/>
    <w:rsid w:val="00BB45F8"/>
    <w:rsid w:val="00BB5487"/>
    <w:rsid w:val="00BB588C"/>
    <w:rsid w:val="00BC0A5B"/>
    <w:rsid w:val="00BC2258"/>
    <w:rsid w:val="00BC32A6"/>
    <w:rsid w:val="00BC34B7"/>
    <w:rsid w:val="00BC4444"/>
    <w:rsid w:val="00BC4A2A"/>
    <w:rsid w:val="00BD09B9"/>
    <w:rsid w:val="00BD5800"/>
    <w:rsid w:val="00BD7869"/>
    <w:rsid w:val="00BE1135"/>
    <w:rsid w:val="00BE53A9"/>
    <w:rsid w:val="00BE7772"/>
    <w:rsid w:val="00BF4649"/>
    <w:rsid w:val="00BF7B88"/>
    <w:rsid w:val="00C019C6"/>
    <w:rsid w:val="00C0212E"/>
    <w:rsid w:val="00C0357E"/>
    <w:rsid w:val="00C04C2E"/>
    <w:rsid w:val="00C05D6A"/>
    <w:rsid w:val="00C11908"/>
    <w:rsid w:val="00C11925"/>
    <w:rsid w:val="00C2164C"/>
    <w:rsid w:val="00C37500"/>
    <w:rsid w:val="00C465B7"/>
    <w:rsid w:val="00C4710F"/>
    <w:rsid w:val="00C536E9"/>
    <w:rsid w:val="00C60B90"/>
    <w:rsid w:val="00C62304"/>
    <w:rsid w:val="00C62C6A"/>
    <w:rsid w:val="00C64218"/>
    <w:rsid w:val="00C64C13"/>
    <w:rsid w:val="00C66E52"/>
    <w:rsid w:val="00C67218"/>
    <w:rsid w:val="00C72CEA"/>
    <w:rsid w:val="00C80FE9"/>
    <w:rsid w:val="00C8679F"/>
    <w:rsid w:val="00C87A95"/>
    <w:rsid w:val="00C91FDE"/>
    <w:rsid w:val="00C930E7"/>
    <w:rsid w:val="00CA02A9"/>
    <w:rsid w:val="00CA7ED8"/>
    <w:rsid w:val="00CB7B7D"/>
    <w:rsid w:val="00CC1DA8"/>
    <w:rsid w:val="00CC229D"/>
    <w:rsid w:val="00CC2454"/>
    <w:rsid w:val="00CC2DC5"/>
    <w:rsid w:val="00CC3762"/>
    <w:rsid w:val="00CC4A06"/>
    <w:rsid w:val="00CD5E03"/>
    <w:rsid w:val="00CD6D7E"/>
    <w:rsid w:val="00CE0587"/>
    <w:rsid w:val="00CE1BA0"/>
    <w:rsid w:val="00CE24DE"/>
    <w:rsid w:val="00CF1E80"/>
    <w:rsid w:val="00CF510E"/>
    <w:rsid w:val="00CF5A8D"/>
    <w:rsid w:val="00CF5A97"/>
    <w:rsid w:val="00CF65CF"/>
    <w:rsid w:val="00D04051"/>
    <w:rsid w:val="00D04DF9"/>
    <w:rsid w:val="00D07C63"/>
    <w:rsid w:val="00D11B9B"/>
    <w:rsid w:val="00D22E82"/>
    <w:rsid w:val="00D246AE"/>
    <w:rsid w:val="00D24B2A"/>
    <w:rsid w:val="00D2746E"/>
    <w:rsid w:val="00D352C7"/>
    <w:rsid w:val="00D37E7A"/>
    <w:rsid w:val="00D405B4"/>
    <w:rsid w:val="00D42C01"/>
    <w:rsid w:val="00D51B8A"/>
    <w:rsid w:val="00D51EE4"/>
    <w:rsid w:val="00D520FB"/>
    <w:rsid w:val="00D549C9"/>
    <w:rsid w:val="00D56AEB"/>
    <w:rsid w:val="00D6480D"/>
    <w:rsid w:val="00D65F9A"/>
    <w:rsid w:val="00D67652"/>
    <w:rsid w:val="00D705E1"/>
    <w:rsid w:val="00D70AED"/>
    <w:rsid w:val="00D72E6A"/>
    <w:rsid w:val="00D740D5"/>
    <w:rsid w:val="00D8049C"/>
    <w:rsid w:val="00D8182F"/>
    <w:rsid w:val="00D827A3"/>
    <w:rsid w:val="00D900C5"/>
    <w:rsid w:val="00D91701"/>
    <w:rsid w:val="00D918E0"/>
    <w:rsid w:val="00D93679"/>
    <w:rsid w:val="00D978E0"/>
    <w:rsid w:val="00D97D4E"/>
    <w:rsid w:val="00DA085C"/>
    <w:rsid w:val="00DA2906"/>
    <w:rsid w:val="00DB2A4A"/>
    <w:rsid w:val="00DB3C1F"/>
    <w:rsid w:val="00DC01A2"/>
    <w:rsid w:val="00DC0DD1"/>
    <w:rsid w:val="00DC18BF"/>
    <w:rsid w:val="00DC1D71"/>
    <w:rsid w:val="00DC2876"/>
    <w:rsid w:val="00DC2F8D"/>
    <w:rsid w:val="00DC3F35"/>
    <w:rsid w:val="00DC63BE"/>
    <w:rsid w:val="00DC667C"/>
    <w:rsid w:val="00DC76C2"/>
    <w:rsid w:val="00DD31F0"/>
    <w:rsid w:val="00DD3D29"/>
    <w:rsid w:val="00DD4919"/>
    <w:rsid w:val="00DD4DB8"/>
    <w:rsid w:val="00DD6917"/>
    <w:rsid w:val="00DD723C"/>
    <w:rsid w:val="00DE3A4E"/>
    <w:rsid w:val="00DE6FBD"/>
    <w:rsid w:val="00DF1529"/>
    <w:rsid w:val="00DF1AFE"/>
    <w:rsid w:val="00E0743E"/>
    <w:rsid w:val="00E07745"/>
    <w:rsid w:val="00E07F4B"/>
    <w:rsid w:val="00E1190C"/>
    <w:rsid w:val="00E1493A"/>
    <w:rsid w:val="00E16923"/>
    <w:rsid w:val="00E2064B"/>
    <w:rsid w:val="00E210F8"/>
    <w:rsid w:val="00E24017"/>
    <w:rsid w:val="00E25FA3"/>
    <w:rsid w:val="00E26BAA"/>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364D"/>
    <w:rsid w:val="00E7638E"/>
    <w:rsid w:val="00E7654C"/>
    <w:rsid w:val="00E8107A"/>
    <w:rsid w:val="00E84889"/>
    <w:rsid w:val="00E877FD"/>
    <w:rsid w:val="00E91A21"/>
    <w:rsid w:val="00E91ADF"/>
    <w:rsid w:val="00E928AF"/>
    <w:rsid w:val="00E93E7A"/>
    <w:rsid w:val="00E9634C"/>
    <w:rsid w:val="00EA199A"/>
    <w:rsid w:val="00EA2818"/>
    <w:rsid w:val="00EA39E3"/>
    <w:rsid w:val="00EB368D"/>
    <w:rsid w:val="00EB3AC1"/>
    <w:rsid w:val="00EC0053"/>
    <w:rsid w:val="00EC7153"/>
    <w:rsid w:val="00EE0195"/>
    <w:rsid w:val="00EF09DB"/>
    <w:rsid w:val="00EF2887"/>
    <w:rsid w:val="00F02EAA"/>
    <w:rsid w:val="00F054DA"/>
    <w:rsid w:val="00F06260"/>
    <w:rsid w:val="00F06321"/>
    <w:rsid w:val="00F12014"/>
    <w:rsid w:val="00F13C77"/>
    <w:rsid w:val="00F14B75"/>
    <w:rsid w:val="00F161F4"/>
    <w:rsid w:val="00F16F23"/>
    <w:rsid w:val="00F20F8F"/>
    <w:rsid w:val="00F228EA"/>
    <w:rsid w:val="00F2375B"/>
    <w:rsid w:val="00F2689B"/>
    <w:rsid w:val="00F302D4"/>
    <w:rsid w:val="00F3059B"/>
    <w:rsid w:val="00F32AC3"/>
    <w:rsid w:val="00F349F9"/>
    <w:rsid w:val="00F37F62"/>
    <w:rsid w:val="00F60E57"/>
    <w:rsid w:val="00F64AAB"/>
    <w:rsid w:val="00F67BC5"/>
    <w:rsid w:val="00F70BF3"/>
    <w:rsid w:val="00F7176C"/>
    <w:rsid w:val="00F7185B"/>
    <w:rsid w:val="00F7476A"/>
    <w:rsid w:val="00F75189"/>
    <w:rsid w:val="00F80611"/>
    <w:rsid w:val="00F84055"/>
    <w:rsid w:val="00F849D4"/>
    <w:rsid w:val="00F87643"/>
    <w:rsid w:val="00F87CC0"/>
    <w:rsid w:val="00F933C1"/>
    <w:rsid w:val="00FA1DCA"/>
    <w:rsid w:val="00FA36C1"/>
    <w:rsid w:val="00FB0C08"/>
    <w:rsid w:val="00FB1E1C"/>
    <w:rsid w:val="00FB28E2"/>
    <w:rsid w:val="00FB4CC1"/>
    <w:rsid w:val="00FC3641"/>
    <w:rsid w:val="00FC5DE0"/>
    <w:rsid w:val="00FC6A10"/>
    <w:rsid w:val="00FD5A1F"/>
    <w:rsid w:val="00FD7DBF"/>
    <w:rsid w:val="00FE1932"/>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customStyle="1" w:styleId="UnresolvedMention1">
    <w:name w:val="Unresolved Mention1"/>
    <w:basedOn w:val="DefaultParagraphFont"/>
    <w:uiPriority w:val="99"/>
    <w:semiHidden/>
    <w:unhideWhenUsed/>
    <w:rsid w:val="002B0D60"/>
    <w:rPr>
      <w:color w:val="605E5C"/>
      <w:shd w:val="clear" w:color="auto" w:fill="E1DFDD"/>
    </w:rPr>
  </w:style>
  <w:style w:type="character" w:styleId="UnresolvedMention">
    <w:name w:val="Unresolved Mention"/>
    <w:basedOn w:val="DefaultParagraphFont"/>
    <w:uiPriority w:val="99"/>
    <w:semiHidden/>
    <w:unhideWhenUsed/>
    <w:rsid w:val="00686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38702306">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53375773">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cluster.box.com/s/pgg97uwzkg8bfr6mvd0sr790hh1dxkfb" TargetMode="External"/><Relationship Id="rId18" Type="http://schemas.openxmlformats.org/officeDocument/2006/relationships/hyperlink" Target="https://educationcluster.box.com/s/x1knlkvrfg71hbe0c3qtdouklom553aq"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ducationcluster.box.com/s/x1knlkvrfg71hbe0c3qtdouklom553aq" TargetMode="External"/><Relationship Id="rId17" Type="http://schemas.openxmlformats.org/officeDocument/2006/relationships/hyperlink" Target="https://educationcluster.box.com/s/xzpcq0uspmwzfnjmqhlqaxturtpnqiom" TargetMode="External"/><Relationship Id="rId2" Type="http://schemas.openxmlformats.org/officeDocument/2006/relationships/numbering" Target="numbering.xml"/><Relationship Id="rId16" Type="http://schemas.openxmlformats.org/officeDocument/2006/relationships/hyperlink" Target="https://educationcluster.box.com/s/x1knlkvrfg71hbe0c3qtdouklom553aq"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box.com/s/lkqyma5gjiqfljaczj6f0g8j7pnwb92v" TargetMode="External"/><Relationship Id="rId5" Type="http://schemas.openxmlformats.org/officeDocument/2006/relationships/webSettings" Target="webSettings.xml"/><Relationship Id="rId15" Type="http://schemas.openxmlformats.org/officeDocument/2006/relationships/hyperlink" Target="https://educationcluster.box.com/s/x1knlkvrfg71hbe0c3qtdouklom553aq" TargetMode="External"/><Relationship Id="rId10" Type="http://schemas.openxmlformats.org/officeDocument/2006/relationships/hyperlink" Target="mailto:help.edcluster@humanitarianresponse.info" TargetMode="External"/><Relationship Id="rId19" Type="http://schemas.openxmlformats.org/officeDocument/2006/relationships/hyperlink" Target="https://educationcluster.box.com/s/x1knlkvrfg71hbe0c3qtdouklom553aq" TargetMode="External"/><Relationship Id="rId4" Type="http://schemas.openxmlformats.org/officeDocument/2006/relationships/settings" Target="settings.xml"/><Relationship Id="rId9" Type="http://schemas.openxmlformats.org/officeDocument/2006/relationships/hyperlink" Target="https://educationcluster.box.com/s/brpbasj75341ph0raxjpq4hnceu0azrg" TargetMode="External"/><Relationship Id="rId14" Type="http://schemas.openxmlformats.org/officeDocument/2006/relationships/hyperlink" Target="https://educationcluster.box.com/s/d60qa1qnile2lmiiyeyu8220qp7il4h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s://educationcluster.box.com/s/n5m5g3gjt7r1xo0qpk9utr70wu81cof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EB8E1-190E-47C2-B36B-427305EE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1812</Words>
  <Characters>10331</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Elyse Leonard</cp:lastModifiedBy>
  <cp:revision>36</cp:revision>
  <cp:lastPrinted>2020-02-13T08:37:00Z</cp:lastPrinted>
  <dcterms:created xsi:type="dcterms:W3CDTF">2021-06-24T13:26:00Z</dcterms:created>
  <dcterms:modified xsi:type="dcterms:W3CDTF">2021-08-25T11:41:00Z</dcterms:modified>
</cp:coreProperties>
</file>